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880" w:firstLineChars="200"/>
        <w:jc w:val="center"/>
        <w:rPr>
          <w:rFonts w:ascii="黑体" w:eastAsia="黑体"/>
          <w:sz w:val="44"/>
          <w:szCs w:val="36"/>
        </w:rPr>
      </w:pPr>
      <w:r>
        <w:rPr>
          <w:rFonts w:hint="eastAsia" w:ascii="黑体" w:eastAsia="黑体"/>
          <w:sz w:val="44"/>
          <w:szCs w:val="36"/>
        </w:rPr>
        <w:t>赣州市商务局20</w:t>
      </w:r>
      <w:r>
        <w:rPr>
          <w:rFonts w:hint="eastAsia" w:ascii="黑体" w:eastAsia="黑体"/>
          <w:sz w:val="44"/>
          <w:szCs w:val="36"/>
          <w:lang w:val="en-US" w:eastAsia="zh-CN"/>
        </w:rPr>
        <w:t>21</w:t>
      </w:r>
      <w:r>
        <w:rPr>
          <w:rFonts w:hint="eastAsia" w:ascii="黑体" w:eastAsia="黑体"/>
          <w:sz w:val="44"/>
          <w:szCs w:val="36"/>
        </w:rPr>
        <w:t>年度决算</w:t>
      </w:r>
    </w:p>
    <w:p>
      <w:pPr>
        <w:spacing w:line="560" w:lineRule="exact"/>
        <w:ind w:firstLine="880" w:firstLineChars="200"/>
        <w:jc w:val="center"/>
        <w:rPr>
          <w:rFonts w:ascii="黑体" w:eastAsia="黑体"/>
          <w:sz w:val="44"/>
          <w:szCs w:val="36"/>
        </w:rPr>
      </w:pPr>
    </w:p>
    <w:p>
      <w:pPr>
        <w:spacing w:line="560" w:lineRule="exact"/>
        <w:ind w:firstLine="800" w:firstLineChars="200"/>
        <w:jc w:val="center"/>
        <w:rPr>
          <w:rFonts w:ascii="黑体" w:eastAsia="黑体"/>
          <w:sz w:val="40"/>
          <w:szCs w:val="36"/>
        </w:rPr>
      </w:pPr>
      <w:r>
        <w:rPr>
          <w:rFonts w:hint="eastAsia" w:ascii="黑体" w:eastAsia="黑体"/>
          <w:sz w:val="40"/>
          <w:szCs w:val="36"/>
        </w:rPr>
        <w:t>目    录</w:t>
      </w:r>
    </w:p>
    <w:p>
      <w:pPr>
        <w:widowControl/>
        <w:spacing w:line="560" w:lineRule="exact"/>
        <w:ind w:firstLine="640" w:firstLineChars="200"/>
        <w:jc w:val="left"/>
        <w:rPr>
          <w:rFonts w:ascii="仿宋_GB2312" w:eastAsia="仿宋_GB2312"/>
          <w:sz w:val="32"/>
          <w:szCs w:val="30"/>
        </w:rPr>
      </w:pPr>
    </w:p>
    <w:p>
      <w:pPr>
        <w:widowControl/>
        <w:spacing w:line="560" w:lineRule="exact"/>
        <w:ind w:firstLine="640" w:firstLineChars="200"/>
        <w:jc w:val="left"/>
        <w:rPr>
          <w:rFonts w:ascii="黑体" w:hAnsi="黑体" w:eastAsia="黑体"/>
          <w:b/>
          <w:sz w:val="32"/>
          <w:szCs w:val="32"/>
        </w:rPr>
      </w:pPr>
      <w:r>
        <w:rPr>
          <w:rFonts w:hint="eastAsia" w:ascii="仿宋" w:hAnsi="仿宋" w:eastAsia="仿宋"/>
          <w:sz w:val="32"/>
          <w:szCs w:val="30"/>
        </w:rPr>
        <w:t xml:space="preserve">第一部分 </w:t>
      </w:r>
      <w:r>
        <w:rPr>
          <w:rFonts w:hint="eastAsia" w:ascii="黑体" w:hAnsi="黑体" w:eastAsia="黑体"/>
          <w:b/>
          <w:sz w:val="32"/>
          <w:szCs w:val="32"/>
        </w:rPr>
        <w:t xml:space="preserve"> </w:t>
      </w:r>
      <w:r>
        <w:rPr>
          <w:rFonts w:hint="eastAsia" w:ascii="黑体" w:hAnsi="黑体" w:eastAsia="黑体"/>
          <w:sz w:val="32"/>
          <w:szCs w:val="32"/>
        </w:rPr>
        <w:t>赣州市商务局概况</w:t>
      </w:r>
    </w:p>
    <w:p>
      <w:pPr>
        <w:widowControl/>
        <w:spacing w:line="560" w:lineRule="exact"/>
        <w:ind w:firstLine="640" w:firstLineChars="200"/>
        <w:jc w:val="left"/>
        <w:rPr>
          <w:rFonts w:hint="eastAsia" w:ascii="仿宋" w:hAnsi="仿宋" w:eastAsia="仿宋"/>
          <w:sz w:val="32"/>
          <w:szCs w:val="30"/>
        </w:rPr>
      </w:pPr>
      <w:r>
        <w:rPr>
          <w:rFonts w:hint="eastAsia" w:ascii="仿宋" w:hAnsi="仿宋" w:eastAsia="仿宋"/>
          <w:sz w:val="32"/>
          <w:szCs w:val="30"/>
          <w:lang w:val="en-US" w:eastAsia="zh-CN"/>
        </w:rPr>
        <w:t xml:space="preserve">    </w:t>
      </w:r>
      <w:r>
        <w:rPr>
          <w:rFonts w:hint="eastAsia" w:ascii="仿宋" w:hAnsi="仿宋" w:eastAsia="仿宋"/>
          <w:sz w:val="32"/>
          <w:szCs w:val="30"/>
        </w:rPr>
        <w:t>一、</w:t>
      </w:r>
      <w:r>
        <w:rPr>
          <w:rFonts w:hint="eastAsia" w:ascii="仿宋" w:hAnsi="仿宋" w:eastAsia="仿宋"/>
          <w:sz w:val="32"/>
          <w:szCs w:val="30"/>
          <w:lang w:val="en-US" w:eastAsia="zh-CN"/>
        </w:rPr>
        <w:t>单位</w:t>
      </w:r>
      <w:r>
        <w:rPr>
          <w:rFonts w:hint="eastAsia" w:ascii="仿宋" w:hAnsi="仿宋" w:eastAsia="仿宋"/>
          <w:sz w:val="32"/>
          <w:szCs w:val="30"/>
        </w:rPr>
        <w:t>主要职责</w:t>
      </w:r>
    </w:p>
    <w:p>
      <w:pPr>
        <w:widowControl/>
        <w:spacing w:line="560" w:lineRule="exact"/>
        <w:ind w:firstLine="640" w:firstLineChars="200"/>
        <w:jc w:val="left"/>
        <w:rPr>
          <w:rFonts w:ascii="仿宋" w:hAnsi="仿宋" w:eastAsia="仿宋" w:cs="宋体"/>
          <w:kern w:val="0"/>
          <w:sz w:val="32"/>
          <w:szCs w:val="32"/>
        </w:rPr>
      </w:pPr>
      <w:r>
        <w:rPr>
          <w:rFonts w:hint="eastAsia" w:ascii="仿宋" w:hAnsi="仿宋" w:eastAsia="仿宋"/>
          <w:sz w:val="32"/>
          <w:szCs w:val="30"/>
        </w:rPr>
        <w:t xml:space="preserve">    二、</w:t>
      </w:r>
      <w:r>
        <w:rPr>
          <w:rFonts w:hint="eastAsia" w:ascii="仿宋" w:hAnsi="仿宋" w:eastAsia="仿宋"/>
          <w:sz w:val="32"/>
          <w:szCs w:val="30"/>
          <w:lang w:val="en-US" w:eastAsia="zh-CN"/>
        </w:rPr>
        <w:t>单位</w:t>
      </w:r>
      <w:r>
        <w:rPr>
          <w:rFonts w:hint="eastAsia" w:ascii="仿宋" w:hAnsi="仿宋" w:eastAsia="仿宋" w:cs="宋体"/>
          <w:kern w:val="0"/>
          <w:sz w:val="32"/>
          <w:szCs w:val="32"/>
        </w:rPr>
        <w:t>基本情况</w:t>
      </w:r>
    </w:p>
    <w:p>
      <w:pPr>
        <w:widowControl/>
        <w:spacing w:line="560" w:lineRule="exact"/>
        <w:ind w:firstLine="640" w:firstLineChars="200"/>
        <w:jc w:val="left"/>
        <w:rPr>
          <w:rFonts w:ascii="黑体" w:hAnsi="黑体" w:eastAsia="黑体"/>
          <w:sz w:val="32"/>
          <w:szCs w:val="32"/>
        </w:rPr>
      </w:pPr>
      <w:r>
        <w:rPr>
          <w:rFonts w:hint="eastAsia" w:ascii="黑体" w:hAnsi="黑体" w:eastAsia="黑体"/>
          <w:sz w:val="32"/>
          <w:szCs w:val="32"/>
        </w:rPr>
        <w:t>第二部分  20</w:t>
      </w:r>
      <w:r>
        <w:rPr>
          <w:rFonts w:hint="eastAsia" w:ascii="黑体" w:hAnsi="黑体" w:eastAsia="黑体"/>
          <w:sz w:val="32"/>
          <w:szCs w:val="32"/>
          <w:lang w:val="en-US" w:eastAsia="zh-CN"/>
        </w:rPr>
        <w:t>21</w:t>
      </w:r>
      <w:r>
        <w:rPr>
          <w:rFonts w:hint="eastAsia" w:ascii="黑体" w:hAnsi="黑体" w:eastAsia="黑体"/>
          <w:sz w:val="32"/>
          <w:szCs w:val="32"/>
        </w:rPr>
        <w:t>年度部门决算表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一、收入支出决算总表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二、收入决算表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三、支出决算表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四、财政拨款收入支出决算总表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五、一般公共预算财政拨款支出决算表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六、一般公共预算财政拨款基本支出决算表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七、“三公”经费支出决算表</w:t>
      </w:r>
    </w:p>
    <w:p>
      <w:pPr>
        <w:widowControl/>
        <w:numPr>
          <w:ilvl w:val="0"/>
          <w:numId w:val="1"/>
        </w:numPr>
        <w:spacing w:line="600" w:lineRule="exact"/>
        <w:ind w:left="1280" w:leftChars="0" w:firstLine="0" w:firstLineChars="0"/>
        <w:jc w:val="left"/>
        <w:rPr>
          <w:rFonts w:hint="eastAsia" w:ascii="仿宋" w:hAnsi="仿宋" w:eastAsia="仿宋" w:cs="宋体"/>
          <w:kern w:val="0"/>
          <w:sz w:val="32"/>
          <w:szCs w:val="32"/>
        </w:rPr>
      </w:pPr>
      <w:r>
        <w:rPr>
          <w:rFonts w:hint="eastAsia" w:ascii="仿宋" w:hAnsi="仿宋" w:eastAsia="仿宋" w:cs="宋体"/>
          <w:kern w:val="0"/>
          <w:sz w:val="32"/>
          <w:szCs w:val="32"/>
        </w:rPr>
        <w:t>政府性基金预算财政拨款收入支出决算表</w:t>
      </w:r>
    </w:p>
    <w:p>
      <w:pPr>
        <w:widowControl/>
        <w:numPr>
          <w:ilvl w:val="0"/>
          <w:numId w:val="1"/>
        </w:numPr>
        <w:spacing w:line="600" w:lineRule="exact"/>
        <w:ind w:left="1280" w:leftChars="0" w:firstLine="0" w:firstLineChars="0"/>
        <w:jc w:val="left"/>
        <w:rPr>
          <w:rFonts w:hint="eastAsia" w:ascii="仿宋" w:hAnsi="仿宋" w:eastAsia="仿宋" w:cs="宋体"/>
          <w:kern w:val="0"/>
          <w:sz w:val="32"/>
          <w:szCs w:val="32"/>
        </w:rPr>
      </w:pPr>
      <w:r>
        <w:rPr>
          <w:rFonts w:hint="eastAsia" w:ascii="仿宋" w:hAnsi="仿宋" w:eastAsia="仿宋" w:cs="宋体"/>
          <w:kern w:val="0"/>
          <w:sz w:val="32"/>
          <w:szCs w:val="32"/>
          <w:lang w:val="en-US" w:eastAsia="zh-CN"/>
        </w:rPr>
        <w:t>国有资本经营预算财政拨款支出决算表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w:t>
      </w:r>
      <w:r>
        <w:rPr>
          <w:rFonts w:hint="eastAsia" w:ascii="仿宋" w:hAnsi="仿宋" w:eastAsia="仿宋" w:cs="宋体"/>
          <w:kern w:val="0"/>
          <w:sz w:val="32"/>
          <w:szCs w:val="32"/>
          <w:lang w:val="en-US" w:eastAsia="zh-CN"/>
        </w:rPr>
        <w:t>十</w:t>
      </w:r>
      <w:r>
        <w:rPr>
          <w:rFonts w:hint="eastAsia" w:ascii="仿宋" w:hAnsi="仿宋" w:eastAsia="仿宋" w:cs="宋体"/>
          <w:kern w:val="0"/>
          <w:sz w:val="32"/>
          <w:szCs w:val="32"/>
        </w:rPr>
        <w:t>、国有资产占用情况表</w:t>
      </w:r>
    </w:p>
    <w:p>
      <w:pPr>
        <w:widowControl/>
        <w:spacing w:line="600" w:lineRule="exact"/>
        <w:jc w:val="left"/>
        <w:rPr>
          <w:rFonts w:hint="eastAsia"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sz w:val="32"/>
          <w:szCs w:val="32"/>
        </w:rPr>
        <w:t>第三部分  202</w:t>
      </w:r>
      <w:r>
        <w:rPr>
          <w:rFonts w:hint="eastAsia" w:ascii="黑体" w:hAnsi="黑体" w:eastAsia="黑体"/>
          <w:sz w:val="32"/>
          <w:szCs w:val="32"/>
          <w:lang w:val="en-US" w:eastAsia="zh-CN"/>
        </w:rPr>
        <w:t>1</w:t>
      </w:r>
      <w:r>
        <w:rPr>
          <w:rFonts w:hint="eastAsia" w:ascii="黑体" w:hAnsi="黑体" w:eastAsia="黑体"/>
          <w:sz w:val="32"/>
          <w:szCs w:val="32"/>
        </w:rPr>
        <w:t>年度部门决算情况说明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三、财政拨款支出决算情况说明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四、一般公共预算财政拨款基本支出决算情况说明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五、“三公”经费支出决算情况说明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六、机关运行经费支出情况说明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七、政府采购支出情况说明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八、国有资产占用情况说明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九、预算绩效情况说明</w:t>
      </w:r>
    </w:p>
    <w:p>
      <w:pPr>
        <w:widowControl/>
        <w:spacing w:line="600" w:lineRule="exact"/>
        <w:ind w:firstLine="640"/>
        <w:jc w:val="left"/>
        <w:rPr>
          <w:rFonts w:ascii="仿宋" w:hAnsi="仿宋" w:eastAsia="仿宋"/>
          <w:sz w:val="32"/>
          <w:szCs w:val="30"/>
        </w:rPr>
      </w:pPr>
      <w:r>
        <w:rPr>
          <w:rFonts w:hint="eastAsia" w:ascii="黑体" w:hAnsi="黑体" w:eastAsia="黑体"/>
          <w:sz w:val="32"/>
          <w:szCs w:val="32"/>
        </w:rPr>
        <w:t>第四部分  名词解释</w:t>
      </w:r>
    </w:p>
    <w:p>
      <w:pPr>
        <w:spacing w:line="560" w:lineRule="exact"/>
        <w:ind w:firstLine="722" w:firstLineChars="200"/>
        <w:jc w:val="center"/>
        <w:rPr>
          <w:rFonts w:ascii="宋体" w:hAnsi="宋体"/>
          <w:b/>
          <w:sz w:val="36"/>
          <w:szCs w:val="36"/>
        </w:rPr>
      </w:pPr>
    </w:p>
    <w:p>
      <w:pPr>
        <w:spacing w:line="560" w:lineRule="exact"/>
        <w:ind w:firstLine="722" w:firstLineChars="200"/>
        <w:jc w:val="center"/>
        <w:rPr>
          <w:rFonts w:ascii="宋体" w:hAnsi="宋体"/>
          <w:b/>
          <w:sz w:val="36"/>
          <w:szCs w:val="36"/>
        </w:rPr>
      </w:pPr>
    </w:p>
    <w:p>
      <w:pPr>
        <w:spacing w:line="560" w:lineRule="exact"/>
        <w:ind w:firstLine="722" w:firstLineChars="200"/>
        <w:jc w:val="center"/>
        <w:rPr>
          <w:rFonts w:ascii="宋体" w:hAnsi="宋体"/>
          <w:b/>
          <w:sz w:val="36"/>
          <w:szCs w:val="36"/>
        </w:rPr>
      </w:pPr>
    </w:p>
    <w:p>
      <w:pPr>
        <w:spacing w:line="560" w:lineRule="exact"/>
        <w:ind w:firstLine="722" w:firstLineChars="200"/>
        <w:jc w:val="center"/>
        <w:rPr>
          <w:rFonts w:ascii="宋体" w:hAnsi="宋体"/>
          <w:b/>
          <w:sz w:val="36"/>
          <w:szCs w:val="36"/>
        </w:rPr>
      </w:pPr>
    </w:p>
    <w:p>
      <w:pPr>
        <w:spacing w:line="560" w:lineRule="exact"/>
        <w:ind w:firstLine="722" w:firstLineChars="200"/>
        <w:jc w:val="center"/>
        <w:rPr>
          <w:rFonts w:ascii="宋体" w:hAnsi="宋体"/>
          <w:b/>
          <w:sz w:val="36"/>
          <w:szCs w:val="36"/>
        </w:rPr>
      </w:pPr>
    </w:p>
    <w:p>
      <w:pPr>
        <w:spacing w:line="560" w:lineRule="exact"/>
        <w:ind w:firstLine="722" w:firstLineChars="200"/>
        <w:jc w:val="center"/>
        <w:rPr>
          <w:rFonts w:ascii="宋体" w:hAnsi="宋体"/>
          <w:b/>
          <w:sz w:val="36"/>
          <w:szCs w:val="36"/>
        </w:rPr>
      </w:pPr>
    </w:p>
    <w:p>
      <w:pPr>
        <w:spacing w:line="560" w:lineRule="exact"/>
        <w:ind w:firstLine="722" w:firstLineChars="200"/>
        <w:jc w:val="center"/>
        <w:rPr>
          <w:rFonts w:ascii="宋体" w:hAnsi="宋体"/>
          <w:b/>
          <w:sz w:val="36"/>
          <w:szCs w:val="36"/>
        </w:rPr>
      </w:pPr>
    </w:p>
    <w:p>
      <w:pPr>
        <w:spacing w:line="560" w:lineRule="exact"/>
        <w:ind w:firstLine="722" w:firstLineChars="200"/>
        <w:jc w:val="center"/>
        <w:rPr>
          <w:rFonts w:ascii="宋体" w:hAnsi="宋体"/>
          <w:b/>
          <w:sz w:val="36"/>
          <w:szCs w:val="36"/>
        </w:rPr>
      </w:pPr>
    </w:p>
    <w:p>
      <w:pPr>
        <w:spacing w:line="560" w:lineRule="exact"/>
        <w:ind w:firstLine="722" w:firstLineChars="200"/>
        <w:jc w:val="center"/>
        <w:rPr>
          <w:rFonts w:ascii="宋体" w:hAnsi="宋体"/>
          <w:b/>
          <w:sz w:val="36"/>
          <w:szCs w:val="36"/>
        </w:rPr>
      </w:pPr>
    </w:p>
    <w:p>
      <w:pPr>
        <w:spacing w:line="560" w:lineRule="exact"/>
        <w:ind w:firstLine="722" w:firstLineChars="200"/>
        <w:jc w:val="center"/>
        <w:rPr>
          <w:rFonts w:ascii="宋体" w:hAnsi="宋体"/>
          <w:b/>
          <w:sz w:val="36"/>
          <w:szCs w:val="36"/>
        </w:rPr>
      </w:pPr>
    </w:p>
    <w:p>
      <w:pPr>
        <w:spacing w:line="560" w:lineRule="exact"/>
        <w:ind w:firstLine="722" w:firstLineChars="200"/>
        <w:jc w:val="center"/>
        <w:rPr>
          <w:rFonts w:ascii="宋体" w:hAnsi="宋体"/>
          <w:b/>
          <w:sz w:val="36"/>
          <w:szCs w:val="36"/>
        </w:rPr>
      </w:pPr>
    </w:p>
    <w:p>
      <w:pPr>
        <w:spacing w:line="560" w:lineRule="exact"/>
        <w:ind w:firstLine="722" w:firstLineChars="200"/>
        <w:jc w:val="center"/>
        <w:rPr>
          <w:rFonts w:ascii="宋体" w:hAnsi="宋体"/>
          <w:b/>
          <w:sz w:val="36"/>
          <w:szCs w:val="36"/>
        </w:rPr>
      </w:pPr>
    </w:p>
    <w:p>
      <w:pPr>
        <w:spacing w:line="560" w:lineRule="exact"/>
        <w:ind w:firstLine="722" w:firstLineChars="200"/>
        <w:jc w:val="center"/>
        <w:rPr>
          <w:rFonts w:ascii="宋体" w:hAnsi="宋体"/>
          <w:b/>
          <w:sz w:val="36"/>
          <w:szCs w:val="36"/>
        </w:rPr>
      </w:pPr>
    </w:p>
    <w:p>
      <w:pPr>
        <w:spacing w:line="560" w:lineRule="exact"/>
        <w:ind w:firstLine="722" w:firstLineChars="200"/>
        <w:jc w:val="center"/>
        <w:rPr>
          <w:rFonts w:ascii="宋体" w:hAnsi="宋体"/>
          <w:b/>
          <w:sz w:val="36"/>
          <w:szCs w:val="36"/>
        </w:rPr>
      </w:pPr>
    </w:p>
    <w:p>
      <w:pPr>
        <w:spacing w:line="560" w:lineRule="exact"/>
        <w:ind w:firstLine="722" w:firstLineChars="200"/>
        <w:jc w:val="center"/>
        <w:rPr>
          <w:rFonts w:ascii="宋体" w:hAnsi="宋体"/>
          <w:b/>
          <w:sz w:val="36"/>
          <w:szCs w:val="36"/>
        </w:rPr>
      </w:pPr>
    </w:p>
    <w:p>
      <w:pPr>
        <w:widowControl/>
        <w:spacing w:line="560" w:lineRule="exact"/>
        <w:ind w:firstLine="642" w:firstLineChars="200"/>
        <w:jc w:val="center"/>
        <w:rPr>
          <w:rFonts w:ascii="宋体" w:hAnsi="宋体"/>
          <w:b/>
          <w:sz w:val="32"/>
          <w:szCs w:val="30"/>
        </w:rPr>
      </w:pPr>
    </w:p>
    <w:p>
      <w:pPr>
        <w:widowControl/>
        <w:spacing w:line="560" w:lineRule="exact"/>
        <w:ind w:firstLine="642" w:firstLineChars="200"/>
        <w:jc w:val="center"/>
        <w:rPr>
          <w:rFonts w:ascii="宋体" w:hAnsi="宋体"/>
          <w:b/>
          <w:sz w:val="32"/>
          <w:szCs w:val="30"/>
        </w:rPr>
      </w:pPr>
    </w:p>
    <w:p>
      <w:pPr>
        <w:widowControl/>
        <w:spacing w:line="560" w:lineRule="exact"/>
        <w:jc w:val="both"/>
        <w:rPr>
          <w:rFonts w:ascii="宋体" w:hAnsi="宋体"/>
          <w:b/>
          <w:sz w:val="32"/>
          <w:szCs w:val="30"/>
        </w:rPr>
      </w:pPr>
    </w:p>
    <w:p>
      <w:pPr>
        <w:widowControl/>
        <w:spacing w:line="560" w:lineRule="exact"/>
        <w:ind w:firstLine="642" w:firstLineChars="200"/>
        <w:jc w:val="center"/>
        <w:rPr>
          <w:rFonts w:ascii="宋体" w:hAnsi="宋体"/>
          <w:b/>
          <w:sz w:val="32"/>
          <w:szCs w:val="30"/>
        </w:rPr>
      </w:pPr>
    </w:p>
    <w:p>
      <w:pPr>
        <w:widowControl/>
        <w:spacing w:line="560" w:lineRule="exact"/>
        <w:ind w:firstLine="642" w:firstLineChars="200"/>
        <w:jc w:val="center"/>
        <w:rPr>
          <w:rFonts w:ascii="宋体" w:hAnsi="宋体"/>
          <w:b/>
          <w:sz w:val="32"/>
          <w:szCs w:val="30"/>
        </w:rPr>
      </w:pPr>
      <w:r>
        <w:rPr>
          <w:rFonts w:hint="eastAsia" w:ascii="宋体" w:hAnsi="宋体"/>
          <w:b/>
          <w:sz w:val="32"/>
          <w:szCs w:val="30"/>
        </w:rPr>
        <w:t>第一部分  赣州市商务局概况</w:t>
      </w:r>
    </w:p>
    <w:p>
      <w:pPr>
        <w:ind w:firstLine="630"/>
        <w:jc w:val="left"/>
        <w:rPr>
          <w:rFonts w:hint="eastAsia" w:ascii="仿宋" w:hAnsi="仿宋" w:eastAsia="仿宋" w:cs="Times New Roman"/>
          <w:sz w:val="30"/>
          <w:szCs w:val="30"/>
          <w:lang w:val="en-US" w:eastAsia="zh-CN"/>
        </w:rPr>
      </w:pP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一、单位主要职能</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（一）贯彻执行国家和省关于国内外贸易、国际经济合作、利用内外资、商品流通和商贸服务业的各项方针政策、法律法规、制度措施。</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二）宏观管理和指导全市商务工作。研究制定并组织实施全市国内外贸易、国际经济合作、利用内外资等方面的发展规划和发展战略。统计、分析和发布重要商务信息。参与协调商务运行中涉及财政、金融、税务、统计等领域的政策问题。</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（三）负责推进流通产业结构调整，指导社区商业发展，实施商贸服务行业管理，推动流通标准化和连锁经营、商业特许经营、物流配送、电子商务等现代商贸流通方式的发展。推动商务领域信用建设。</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（四）促进城乡市场发展，指导大宗商品批发市场规划和城市商业网点规划、商业体系建设的工作，推进农村市场体系建设，组织实施农村现代流通网络工程。</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五）承担组织实施重要消费品市场调控和重要生产资料流通管理的责任，负责建立健全生活必需品市场供应应急管理机制，监测分析市场运行、商品供求状况，调查分析商品价格信息，进行预测预警和信息引导，按分工负责重要商品储备管理和市场调控工作，负责酒类流通、特许经营等相关指导监督和管理工作，按有关规定对成品油市场进行监督管理。</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六）负责利用外资和引进市外资金工作，组织拟订优化投资环境的措施，负责重大招商活动的协调组织和重大引资项目的协调工作；指导全市外商投资审批工作；负责全市外商投资企业的后期管理与服务工作；监督外商投资企业执行有关法律、法规、合同情况；指导全市经济技术开发区的有关工作；为来赣州投资者以及在赣州投资企业提供政策咨询和协调服务工作。</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（七）负责区域经济合作的组织协调工作，负责外地驻赣州商会、驻赣州办事机构和我市驻外商会、驻外办事机构的相关协调服务工作，指导市政府驻外机构引进资金和经济协作业务工作。</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八）研究拟定全市进出口中长期发展规划和发展战略；促进贸易增长方式转变，指导和协调贸易促进体系的建立。负责推动企业开拓多元化国际市场；执行国家进出口商品、加工贸易管理办法和进出口管理商品、技术目录，负责组织实施重要工业品、原材料和重要农产品进出口总量计划工作，指导和协调加工贸易工作。</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（九）执行国家对外技术贸易、出口管制以及鼓励技术和成套设备进出口的政策，依法监督技术引进、设备进口、国家限制出口产品的工作，受委托依法颁发相关进出口许可证件。</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十）负责涉及世贸组织规则的相关工作，承担组织协调反倾销、反补贴、保障措施及其他与进出口公平贸易相关工作的责任；指导协调产业安全应对工作及国外对我市出口商品的反倾销、反补贴、保障措施的应诉相关工作；指导、组织本市相关企业参加境内外进出口商品交易会。</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十一）贯彻执行国家对外经济合作政策、规章，制定对外投资、对外承包工程和对外劳务合作年度计划和中长期发展规划，归口管理对外投资、对外承包工程、对外劳务合作业务和统计工作，配合有关部门做好接受和管理国际多双边援助工作，负责全市人员出境就业管理。</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（十二）协调、指导国际电子商务在全市外向型企业的应用；组织、实施全市贸易服务体系和电子政务管理体系的建设。</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十三）负责牵头拟订全市口岸总体发展规划及陆路、航空、电子口岸专项规划。协调全市口岸（含口岸作业区、特殊监管区）的建设和管理工作，负责推动大通关及口岸区域合作，协调、裁相关部门之间的口岸事务，负责报关、国际货代及船代等口岸行业的协调管理。</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（十四）指导督促大型商场、大型市场、成品油流通行业安全生产工作，推动企业开展安全生产标准化建设。</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（十五）推进商贸流通领域资源节约和生态环境保护，督促加油站做好污染防治设施；负责批发零售企业节能降耗（含限塑）、老旧汽车报废回收拆解和更新、再生资源回收流通行业的监督管理。</w:t>
      </w:r>
    </w:p>
    <w:p>
      <w:pPr>
        <w:ind w:firstLine="630"/>
        <w:jc w:val="left"/>
        <w:rPr>
          <w:rFonts w:hint="eastAsia" w:ascii="黑体" w:hAnsi="黑体" w:eastAsia="黑体" w:cs="Times New Roman"/>
          <w:sz w:val="30"/>
          <w:szCs w:val="30"/>
        </w:rPr>
      </w:pPr>
      <w:r>
        <w:rPr>
          <w:rFonts w:hint="eastAsia" w:ascii="黑体" w:hAnsi="黑体" w:eastAsia="黑体" w:cs="Times New Roman"/>
          <w:sz w:val="30"/>
          <w:szCs w:val="30"/>
        </w:rPr>
        <w:t>二、</w:t>
      </w:r>
      <w:r>
        <w:rPr>
          <w:rFonts w:hint="eastAsia" w:ascii="黑体" w:hAnsi="黑体" w:eastAsia="黑体" w:cs="Times New Roman"/>
          <w:sz w:val="30"/>
          <w:szCs w:val="30"/>
          <w:lang w:eastAsia="zh-CN"/>
        </w:rPr>
        <w:t>单位</w:t>
      </w:r>
      <w:r>
        <w:rPr>
          <w:rFonts w:hint="eastAsia" w:ascii="黑体" w:hAnsi="黑体" w:eastAsia="黑体" w:cs="Times New Roman"/>
          <w:sz w:val="30"/>
          <w:szCs w:val="30"/>
        </w:rPr>
        <w:t>基本情况</w:t>
      </w:r>
    </w:p>
    <w:p>
      <w:pPr>
        <w:ind w:firstLine="630"/>
        <w:jc w:val="left"/>
        <w:rPr>
          <w:rFonts w:hint="eastAsia" w:ascii="仿宋" w:hAnsi="仿宋" w:eastAsia="仿宋" w:cs="Times New Roman"/>
          <w:sz w:val="30"/>
          <w:szCs w:val="30"/>
        </w:rPr>
      </w:pPr>
      <w:r>
        <w:rPr>
          <w:rFonts w:hint="eastAsia" w:ascii="仿宋" w:hAnsi="仿宋" w:eastAsia="仿宋" w:cs="Times New Roman"/>
          <w:sz w:val="30"/>
          <w:szCs w:val="30"/>
        </w:rPr>
        <w:t>纳入本套决算汇编范围的单位共 2 个，包括：赣州市商务局机关和赣州市</w:t>
      </w:r>
      <w:r>
        <w:rPr>
          <w:rFonts w:hint="eastAsia" w:ascii="仿宋" w:hAnsi="仿宋" w:eastAsia="仿宋" w:cs="Times New Roman"/>
          <w:sz w:val="30"/>
          <w:szCs w:val="30"/>
          <w:lang w:eastAsia="zh-CN"/>
        </w:rPr>
        <w:t>跨境电子商务综合试验区管理中心</w:t>
      </w:r>
      <w:r>
        <w:rPr>
          <w:rFonts w:hint="eastAsia" w:ascii="仿宋" w:hAnsi="仿宋" w:eastAsia="仿宋" w:cs="Times New Roman"/>
          <w:sz w:val="30"/>
          <w:szCs w:val="30"/>
        </w:rPr>
        <w:t>。</w:t>
      </w:r>
    </w:p>
    <w:p>
      <w:pPr>
        <w:ind w:firstLine="630"/>
        <w:jc w:val="left"/>
        <w:rPr>
          <w:rFonts w:hint="eastAsia" w:ascii="仿宋" w:hAnsi="仿宋" w:eastAsia="仿宋" w:cs="Times New Roman"/>
          <w:sz w:val="30"/>
          <w:szCs w:val="30"/>
          <w:lang w:val="en-US" w:eastAsia="zh-CN"/>
        </w:rPr>
      </w:pPr>
      <w:r>
        <w:rPr>
          <w:rFonts w:hint="eastAsia" w:ascii="仿宋" w:hAnsi="仿宋" w:eastAsia="仿宋" w:cs="Times New Roman"/>
          <w:sz w:val="30"/>
          <w:szCs w:val="30"/>
          <w:lang w:val="en-US" w:eastAsia="zh-CN"/>
        </w:rPr>
        <w:t>本单位设立11个内设机构和1个下属正科级事业单位市跨境电商管理中心，内设机构分别是办公室、政策法规科、商贸消费和市场运行科、商贸流通和电子商务科、商贸服务和市场体系建设科、开放开发科、国内外投资管理科、对外贸易科、对外经济合作科、口岸管理科、机关党委。</w:t>
      </w:r>
    </w:p>
    <w:p>
      <w:pPr>
        <w:ind w:firstLine="630"/>
        <w:jc w:val="left"/>
        <w:rPr>
          <w:rFonts w:hint="eastAsia" w:ascii="仿宋" w:hAnsi="仿宋" w:eastAsia="仿宋"/>
          <w:sz w:val="30"/>
          <w:szCs w:val="30"/>
          <w:highlight w:val="none"/>
          <w:lang w:val="en-US" w:eastAsia="zh-CN"/>
        </w:rPr>
      </w:pPr>
      <w:r>
        <w:rPr>
          <w:rFonts w:hint="eastAsia" w:ascii="仿宋" w:hAnsi="仿宋" w:eastAsia="仿宋"/>
          <w:sz w:val="30"/>
          <w:szCs w:val="30"/>
          <w:highlight w:val="none"/>
        </w:rPr>
        <w:t>本</w:t>
      </w:r>
      <w:r>
        <w:rPr>
          <w:rFonts w:hint="eastAsia" w:ascii="仿宋" w:hAnsi="仿宋" w:eastAsia="仿宋"/>
          <w:sz w:val="30"/>
          <w:szCs w:val="30"/>
          <w:highlight w:val="none"/>
          <w:lang w:eastAsia="zh-CN"/>
        </w:rPr>
        <w:t>单位</w:t>
      </w:r>
      <w:r>
        <w:rPr>
          <w:rFonts w:hint="default" w:ascii="仿宋" w:hAnsi="仿宋" w:eastAsia="仿宋"/>
          <w:sz w:val="30"/>
          <w:szCs w:val="30"/>
          <w:highlight w:val="none"/>
          <w:lang w:val="en"/>
        </w:rPr>
        <w:t>2021</w:t>
      </w:r>
      <w:r>
        <w:rPr>
          <w:rFonts w:hint="eastAsia" w:ascii="仿宋" w:hAnsi="仿宋" w:eastAsia="仿宋"/>
          <w:sz w:val="30"/>
          <w:szCs w:val="30"/>
          <w:highlight w:val="none"/>
        </w:rPr>
        <w:t xml:space="preserve">年年末编制人数 </w:t>
      </w:r>
      <w:r>
        <w:rPr>
          <w:rFonts w:hint="eastAsia" w:ascii="仿宋" w:hAnsi="仿宋" w:eastAsia="仿宋"/>
          <w:sz w:val="30"/>
          <w:szCs w:val="30"/>
          <w:highlight w:val="none"/>
          <w:lang w:val="en-US" w:eastAsia="zh-CN"/>
        </w:rPr>
        <w:t>50</w:t>
      </w:r>
      <w:r>
        <w:rPr>
          <w:rFonts w:hint="eastAsia" w:ascii="仿宋" w:hAnsi="仿宋" w:eastAsia="仿宋"/>
          <w:sz w:val="30"/>
          <w:szCs w:val="30"/>
          <w:highlight w:val="none"/>
        </w:rPr>
        <w:t>人，</w:t>
      </w:r>
      <w:r>
        <w:rPr>
          <w:rFonts w:hint="eastAsia" w:ascii="仿宋" w:hAnsi="仿宋" w:eastAsia="仿宋"/>
          <w:sz w:val="30"/>
          <w:szCs w:val="30"/>
          <w:highlight w:val="none"/>
          <w:lang w:val="en-US" w:eastAsia="zh-CN"/>
        </w:rPr>
        <w:t>行政编制36人，行政工勤编4人</w:t>
      </w:r>
      <w:r>
        <w:rPr>
          <w:rFonts w:hint="eastAsia" w:ascii="仿宋" w:hAnsi="仿宋" w:eastAsia="仿宋"/>
          <w:sz w:val="30"/>
          <w:szCs w:val="30"/>
          <w:highlight w:val="none"/>
        </w:rPr>
        <w:t xml:space="preserve">，事业编制 </w:t>
      </w:r>
      <w:r>
        <w:rPr>
          <w:rFonts w:hint="eastAsia" w:ascii="仿宋" w:hAnsi="仿宋" w:eastAsia="仿宋"/>
          <w:sz w:val="30"/>
          <w:szCs w:val="30"/>
          <w:highlight w:val="none"/>
          <w:lang w:val="en-US" w:eastAsia="zh-CN"/>
        </w:rPr>
        <w:t>10</w:t>
      </w:r>
      <w:r>
        <w:rPr>
          <w:rFonts w:hint="eastAsia" w:ascii="仿宋" w:hAnsi="仿宋" w:eastAsia="仿宋"/>
          <w:sz w:val="30"/>
          <w:szCs w:val="30"/>
          <w:highlight w:val="none"/>
        </w:rPr>
        <w:t xml:space="preserve">人；年末实有人数 </w:t>
      </w:r>
      <w:r>
        <w:rPr>
          <w:rFonts w:hint="eastAsia" w:ascii="仿宋" w:hAnsi="仿宋" w:eastAsia="仿宋"/>
          <w:sz w:val="30"/>
          <w:szCs w:val="30"/>
          <w:highlight w:val="none"/>
          <w:lang w:val="en-US" w:eastAsia="zh-CN"/>
        </w:rPr>
        <w:t>128</w:t>
      </w:r>
      <w:r>
        <w:rPr>
          <w:rFonts w:hint="eastAsia" w:ascii="仿宋" w:hAnsi="仿宋" w:eastAsia="仿宋"/>
          <w:sz w:val="30"/>
          <w:szCs w:val="30"/>
          <w:highlight w:val="none"/>
        </w:rPr>
        <w:t>人，</w:t>
      </w:r>
      <w:r>
        <w:rPr>
          <w:rFonts w:hint="eastAsia" w:ascii="仿宋" w:hAnsi="仿宋" w:eastAsia="仿宋"/>
          <w:sz w:val="30"/>
          <w:szCs w:val="30"/>
          <w:highlight w:val="none"/>
          <w:lang w:val="en-US" w:eastAsia="zh-CN"/>
        </w:rPr>
        <w:t>实有在职人数48人，其中：行政人员33人、驻局纪检组行政人员4人、行政工勤人员4人，事业编制7人；离休人员5人，退休人员0人（不含由养老保险基金发放养老金的离退休人员），年末其他人员0 人；年末学生人数  0 人；由养老保险基金发放养老金的退休人员75人。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textAlignment w:val="auto"/>
        <w:rPr>
          <w:rFonts w:hint="eastAsia" w:ascii="仿宋_GB2312" w:hAnsi="仿宋_GB2312" w:eastAsia="仿宋_GB2312" w:cs="仿宋_GB2312"/>
          <w:color w:val="000000"/>
          <w:kern w:val="2"/>
          <w:sz w:val="32"/>
          <w:szCs w:val="32"/>
          <w:lang w:val="en-US" w:eastAsia="zh-CN" w:bidi="ar"/>
        </w:rPr>
      </w:pPr>
    </w:p>
    <w:p>
      <w:pPr>
        <w:widowControl/>
        <w:spacing w:line="560" w:lineRule="exact"/>
        <w:ind w:firstLine="642" w:firstLineChars="200"/>
        <w:jc w:val="center"/>
        <w:rPr>
          <w:rFonts w:hint="eastAsia" w:eastAsiaTheme="minorEastAsia"/>
          <w:lang w:eastAsia="zh-CN"/>
        </w:rPr>
      </w:pPr>
      <w:r>
        <w:rPr>
          <w:rFonts w:hint="eastAsia" w:ascii="宋体" w:hAnsi="宋体"/>
          <w:b/>
          <w:sz w:val="32"/>
          <w:szCs w:val="32"/>
        </w:rPr>
        <w:t>第二部分  20</w:t>
      </w:r>
      <w:r>
        <w:rPr>
          <w:rFonts w:hint="eastAsia" w:ascii="宋体" w:hAnsi="宋体"/>
          <w:b/>
          <w:sz w:val="32"/>
          <w:szCs w:val="32"/>
          <w:lang w:val="en-US" w:eastAsia="zh-CN"/>
        </w:rPr>
        <w:t>21</w:t>
      </w:r>
      <w:r>
        <w:rPr>
          <w:rFonts w:hint="eastAsia" w:ascii="宋体" w:hAnsi="宋体"/>
          <w:b/>
          <w:sz w:val="32"/>
          <w:szCs w:val="32"/>
        </w:rPr>
        <w:t>年度部门决算表</w:t>
      </w:r>
    </w:p>
    <w:p>
      <w:pPr>
        <w:widowControl/>
        <w:spacing w:line="240" w:lineRule="auto"/>
        <w:ind w:firstLine="0" w:firstLineChars="0"/>
        <w:rPr>
          <w:rFonts w:hint="eastAsia" w:eastAsiaTheme="minorEastAsia"/>
          <w:lang w:eastAsia="zh-CN"/>
        </w:rPr>
      </w:pPr>
    </w:p>
    <w:p>
      <w:pPr>
        <w:widowControl/>
        <w:spacing w:line="240" w:lineRule="auto"/>
        <w:ind w:firstLine="0" w:firstLineChars="0"/>
        <w:rPr>
          <w:rFonts w:hint="eastAsia" w:eastAsiaTheme="minorEastAsia"/>
          <w:lang w:eastAsia="zh-CN"/>
        </w:rPr>
      </w:pPr>
    </w:p>
    <w:p>
      <w:pPr>
        <w:widowControl/>
        <w:spacing w:line="240" w:lineRule="auto"/>
        <w:ind w:firstLine="0" w:firstLineChars="0"/>
        <w:rPr>
          <w:rFonts w:hint="eastAsia" w:eastAsiaTheme="minorEastAsia"/>
          <w:lang w:eastAsia="zh-CN"/>
        </w:rPr>
      </w:pPr>
    </w:p>
    <w:p>
      <w:pPr>
        <w:widowControl/>
        <w:spacing w:line="240" w:lineRule="auto"/>
        <w:ind w:firstLine="0" w:firstLineChars="0"/>
        <w:rPr>
          <w:rFonts w:hint="eastAsia" w:eastAsiaTheme="minorEastAsia"/>
          <w:lang w:eastAsia="zh-CN"/>
        </w:rPr>
      </w:pPr>
    </w:p>
    <w:p>
      <w:pPr>
        <w:widowControl/>
        <w:spacing w:line="240" w:lineRule="auto"/>
        <w:ind w:firstLine="0" w:firstLineChars="0"/>
        <w:jc w:val="center"/>
        <w:rPr>
          <w:rFonts w:hint="eastAsia" w:eastAsiaTheme="minorEastAsia"/>
          <w:lang w:eastAsia="zh-CN"/>
        </w:rPr>
      </w:pPr>
    </w:p>
    <w:p>
      <w:pPr>
        <w:widowControl/>
        <w:spacing w:line="240" w:lineRule="auto"/>
        <w:ind w:firstLine="0" w:firstLineChars="0"/>
        <w:rPr>
          <w:rFonts w:hint="eastAsia" w:eastAsiaTheme="minorEastAsia"/>
          <w:lang w:eastAsia="zh-CN"/>
        </w:rPr>
      </w:pPr>
    </w:p>
    <w:p>
      <w:pPr>
        <w:widowControl/>
        <w:spacing w:line="240" w:lineRule="auto"/>
        <w:ind w:firstLine="0" w:firstLineChars="0"/>
        <w:rPr>
          <w:rFonts w:hint="eastAsia" w:eastAsiaTheme="minorEastAsia"/>
          <w:lang w:eastAsia="zh-CN"/>
        </w:rPr>
      </w:pPr>
    </w:p>
    <w:p>
      <w:pPr>
        <w:widowControl/>
        <w:spacing w:line="240" w:lineRule="auto"/>
        <w:ind w:firstLine="0" w:firstLineChars="0"/>
        <w:rPr>
          <w:rFonts w:hint="eastAsia" w:eastAsiaTheme="minorEastAsia"/>
          <w:lang w:eastAsia="zh-CN"/>
        </w:rPr>
      </w:pPr>
    </w:p>
    <w:p>
      <w:pPr>
        <w:widowControl/>
        <w:spacing w:line="240" w:lineRule="auto"/>
        <w:ind w:firstLine="0" w:firstLineChars="0"/>
      </w:pPr>
      <w:r>
        <w:drawing>
          <wp:inline distT="0" distB="0" distL="114300" distR="114300">
            <wp:extent cx="5595620" cy="5810885"/>
            <wp:effectExtent l="0" t="0" r="5080" b="18415"/>
            <wp:docPr id="2"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true"/>
                    </pic:cNvPicPr>
                  </pic:nvPicPr>
                  <pic:blipFill>
                    <a:blip r:embed="rId4"/>
                    <a:stretch>
                      <a:fillRect/>
                    </a:stretch>
                  </pic:blipFill>
                  <pic:spPr>
                    <a:xfrm>
                      <a:off x="0" y="0"/>
                      <a:ext cx="5595620" cy="5810885"/>
                    </a:xfrm>
                    <a:prstGeom prst="rect">
                      <a:avLst/>
                    </a:prstGeom>
                    <a:noFill/>
                    <a:ln>
                      <a:noFill/>
                    </a:ln>
                  </pic:spPr>
                </pic:pic>
              </a:graphicData>
            </a:graphic>
          </wp:inline>
        </w:drawing>
      </w: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rPr>
          <w:rFonts w:hint="eastAsia"/>
          <w:lang w:eastAsia="zh-CN"/>
        </w:rPr>
      </w:pPr>
      <w:r>
        <w:drawing>
          <wp:inline distT="0" distB="0" distL="114300" distR="114300">
            <wp:extent cx="5711825" cy="3829050"/>
            <wp:effectExtent l="0" t="0" r="3175" b="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5"/>
                    <a:stretch>
                      <a:fillRect/>
                    </a:stretch>
                  </pic:blipFill>
                  <pic:spPr>
                    <a:xfrm>
                      <a:off x="0" y="0"/>
                      <a:ext cx="5711825" cy="3829050"/>
                    </a:xfrm>
                    <a:prstGeom prst="rect">
                      <a:avLst/>
                    </a:prstGeom>
                    <a:noFill/>
                    <a:ln>
                      <a:noFill/>
                    </a:ln>
                  </pic:spPr>
                </pic:pic>
              </a:graphicData>
            </a:graphic>
          </wp:inline>
        </w:drawing>
      </w:r>
    </w:p>
    <w:p>
      <w:pPr>
        <w:widowControl/>
        <w:spacing w:line="240" w:lineRule="auto"/>
        <w:ind w:firstLine="0" w:firstLineChars="0"/>
        <w:rPr>
          <w:rFonts w:hint="eastAsia" w:eastAsiaTheme="minorEastAsia"/>
          <w:lang w:eastAsia="zh-CN"/>
        </w:rPr>
      </w:pPr>
    </w:p>
    <w:p>
      <w:pPr>
        <w:widowControl/>
        <w:spacing w:line="240" w:lineRule="auto"/>
        <w:ind w:firstLine="0" w:firstLineChars="0"/>
      </w:pPr>
      <w:r>
        <w:drawing>
          <wp:inline distT="0" distB="0" distL="114300" distR="114300">
            <wp:extent cx="5591175" cy="4682490"/>
            <wp:effectExtent l="0" t="0" r="9525" b="3810"/>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pic:cNvPicPr>
                  </pic:nvPicPr>
                  <pic:blipFill>
                    <a:blip r:embed="rId6"/>
                    <a:stretch>
                      <a:fillRect/>
                    </a:stretch>
                  </pic:blipFill>
                  <pic:spPr>
                    <a:xfrm>
                      <a:off x="0" y="0"/>
                      <a:ext cx="5591175" cy="4682490"/>
                    </a:xfrm>
                    <a:prstGeom prst="rect">
                      <a:avLst/>
                    </a:prstGeom>
                    <a:noFill/>
                    <a:ln>
                      <a:noFill/>
                    </a:ln>
                  </pic:spPr>
                </pic:pic>
              </a:graphicData>
            </a:graphic>
          </wp:inline>
        </w:drawing>
      </w: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pPr>
    </w:p>
    <w:p>
      <w:pPr>
        <w:widowControl/>
        <w:spacing w:line="240" w:lineRule="auto"/>
        <w:ind w:firstLine="0" w:firstLineChars="0"/>
        <w:rPr>
          <w:rFonts w:hint="eastAsia"/>
          <w:lang w:eastAsia="zh-CN"/>
        </w:rPr>
      </w:pPr>
      <w:r>
        <w:drawing>
          <wp:inline distT="0" distB="0" distL="114300" distR="114300">
            <wp:extent cx="5596890" cy="4224655"/>
            <wp:effectExtent l="0" t="0" r="3810" b="4445"/>
            <wp:docPr id="5" name="图片 5"/>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true"/>
                    </pic:cNvPicPr>
                  </pic:nvPicPr>
                  <pic:blipFill>
                    <a:blip r:embed="rId7"/>
                    <a:stretch>
                      <a:fillRect/>
                    </a:stretch>
                  </pic:blipFill>
                  <pic:spPr>
                    <a:xfrm>
                      <a:off x="0" y="0"/>
                      <a:ext cx="5596890" cy="4224655"/>
                    </a:xfrm>
                    <a:prstGeom prst="rect">
                      <a:avLst/>
                    </a:prstGeom>
                    <a:noFill/>
                    <a:ln>
                      <a:noFill/>
                    </a:ln>
                  </pic:spPr>
                </pic:pic>
              </a:graphicData>
            </a:graphic>
          </wp:inline>
        </w:drawing>
      </w:r>
    </w:p>
    <w:p>
      <w:pPr>
        <w:widowControl/>
        <w:spacing w:line="240" w:lineRule="auto"/>
        <w:ind w:firstLine="0" w:firstLineChars="0"/>
        <w:rPr>
          <w:rFonts w:hint="eastAsia" w:eastAsiaTheme="minorEastAsia"/>
          <w:lang w:eastAsia="zh-CN"/>
        </w:rPr>
      </w:pPr>
    </w:p>
    <w:p>
      <w:pPr>
        <w:widowControl/>
        <w:spacing w:line="240" w:lineRule="auto"/>
        <w:ind w:firstLine="0" w:firstLineChars="0"/>
        <w:rPr>
          <w:rFonts w:hint="eastAsia" w:eastAsiaTheme="minorEastAsia"/>
          <w:lang w:eastAsia="zh-CN"/>
        </w:rPr>
      </w:pPr>
    </w:p>
    <w:p>
      <w:pPr>
        <w:widowControl/>
        <w:spacing w:line="240" w:lineRule="auto"/>
        <w:ind w:firstLine="0" w:firstLineChars="0"/>
        <w:rPr>
          <w:rFonts w:hint="eastAsia" w:eastAsiaTheme="minorEastAsia"/>
          <w:lang w:eastAsia="zh-CN"/>
        </w:rPr>
      </w:pPr>
    </w:p>
    <w:p>
      <w:pPr>
        <w:widowControl/>
        <w:spacing w:line="240" w:lineRule="auto"/>
        <w:ind w:firstLine="0" w:firstLineChars="0"/>
      </w:pPr>
      <w:r>
        <w:drawing>
          <wp:inline distT="0" distB="0" distL="114300" distR="114300">
            <wp:extent cx="5594350" cy="6796405"/>
            <wp:effectExtent l="0" t="0" r="6350" b="4445"/>
            <wp:docPr id="6" name="图片 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true"/>
                    </pic:cNvPicPr>
                  </pic:nvPicPr>
                  <pic:blipFill>
                    <a:blip r:embed="rId8"/>
                    <a:stretch>
                      <a:fillRect/>
                    </a:stretch>
                  </pic:blipFill>
                  <pic:spPr>
                    <a:xfrm>
                      <a:off x="0" y="0"/>
                      <a:ext cx="5594350" cy="6796405"/>
                    </a:xfrm>
                    <a:prstGeom prst="rect">
                      <a:avLst/>
                    </a:prstGeom>
                    <a:noFill/>
                    <a:ln>
                      <a:noFill/>
                    </a:ln>
                  </pic:spPr>
                </pic:pic>
              </a:graphicData>
            </a:graphic>
          </wp:inline>
        </w:drawing>
      </w:r>
    </w:p>
    <w:p>
      <w:pPr>
        <w:widowControl/>
        <w:spacing w:line="240" w:lineRule="auto"/>
        <w:ind w:firstLine="0" w:firstLineChars="0"/>
      </w:pPr>
      <w:r>
        <w:drawing>
          <wp:inline distT="0" distB="0" distL="114300" distR="114300">
            <wp:extent cx="5594350" cy="8769350"/>
            <wp:effectExtent l="0" t="0" r="6350" b="12700"/>
            <wp:docPr id="7" name="图片 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true"/>
                    </pic:cNvPicPr>
                  </pic:nvPicPr>
                  <pic:blipFill>
                    <a:blip r:embed="rId9"/>
                    <a:stretch>
                      <a:fillRect/>
                    </a:stretch>
                  </pic:blipFill>
                  <pic:spPr>
                    <a:xfrm>
                      <a:off x="0" y="0"/>
                      <a:ext cx="5594350" cy="8769350"/>
                    </a:xfrm>
                    <a:prstGeom prst="rect">
                      <a:avLst/>
                    </a:prstGeom>
                    <a:noFill/>
                    <a:ln>
                      <a:noFill/>
                    </a:ln>
                  </pic:spPr>
                </pic:pic>
              </a:graphicData>
            </a:graphic>
          </wp:inline>
        </w:drawing>
      </w:r>
    </w:p>
    <w:p>
      <w:pPr>
        <w:widowControl/>
        <w:spacing w:line="240" w:lineRule="auto"/>
        <w:ind w:firstLine="0" w:firstLineChars="0"/>
        <w:rPr>
          <w:rFonts w:hint="eastAsia"/>
          <w:lang w:eastAsia="zh-CN"/>
        </w:rPr>
      </w:pPr>
      <w:r>
        <w:drawing>
          <wp:inline distT="0" distB="0" distL="114300" distR="114300">
            <wp:extent cx="5391150" cy="5600700"/>
            <wp:effectExtent l="0" t="0" r="0" b="0"/>
            <wp:docPr id="8" name="图片 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true"/>
                    </pic:cNvPicPr>
                  </pic:nvPicPr>
                  <pic:blipFill>
                    <a:blip r:embed="rId10"/>
                    <a:stretch>
                      <a:fillRect/>
                    </a:stretch>
                  </pic:blipFill>
                  <pic:spPr>
                    <a:xfrm>
                      <a:off x="0" y="0"/>
                      <a:ext cx="5391150" cy="5600700"/>
                    </a:xfrm>
                    <a:prstGeom prst="rect">
                      <a:avLst/>
                    </a:prstGeom>
                    <a:noFill/>
                    <a:ln>
                      <a:noFill/>
                    </a:ln>
                  </pic:spPr>
                </pic:pic>
              </a:graphicData>
            </a:graphic>
          </wp:inline>
        </w:drawing>
      </w:r>
    </w:p>
    <w:p>
      <w:pPr>
        <w:widowControl/>
        <w:spacing w:line="240" w:lineRule="auto"/>
        <w:ind w:firstLine="0" w:firstLineChars="0"/>
        <w:rPr>
          <w:rFonts w:hint="eastAsia" w:eastAsiaTheme="minorEastAsia"/>
          <w:lang w:eastAsia="zh-CN"/>
        </w:rPr>
      </w:pPr>
    </w:p>
    <w:p>
      <w:pPr>
        <w:widowControl/>
        <w:spacing w:line="240" w:lineRule="auto"/>
        <w:ind w:firstLine="0" w:firstLineChars="0"/>
        <w:rPr>
          <w:rFonts w:hint="eastAsia" w:eastAsiaTheme="minorEastAsia"/>
          <w:lang w:eastAsia="zh-CN"/>
        </w:rPr>
      </w:pPr>
      <w:r>
        <w:drawing>
          <wp:inline distT="0" distB="0" distL="114300" distR="114300">
            <wp:extent cx="5598795" cy="1667510"/>
            <wp:effectExtent l="0" t="0" r="1905" b="8890"/>
            <wp:docPr id="9" name="图片 9"/>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true"/>
                    </pic:cNvPicPr>
                  </pic:nvPicPr>
                  <pic:blipFill>
                    <a:blip r:embed="rId11"/>
                    <a:stretch>
                      <a:fillRect/>
                    </a:stretch>
                  </pic:blipFill>
                  <pic:spPr>
                    <a:xfrm>
                      <a:off x="0" y="0"/>
                      <a:ext cx="5598795" cy="1667510"/>
                    </a:xfrm>
                    <a:prstGeom prst="rect">
                      <a:avLst/>
                    </a:prstGeom>
                    <a:noFill/>
                    <a:ln>
                      <a:noFill/>
                    </a:ln>
                  </pic:spPr>
                </pic:pic>
              </a:graphicData>
            </a:graphic>
          </wp:inline>
        </w:drawing>
      </w:r>
    </w:p>
    <w:p>
      <w:pPr>
        <w:widowControl/>
        <w:spacing w:line="240" w:lineRule="auto"/>
        <w:ind w:firstLine="0" w:firstLineChars="0"/>
        <w:rPr>
          <w:rFonts w:hint="eastAsia" w:eastAsiaTheme="minorEastAsia"/>
          <w:lang w:eastAsia="zh-CN"/>
        </w:rPr>
      </w:pPr>
    </w:p>
    <w:p>
      <w:pPr>
        <w:widowControl/>
        <w:spacing w:line="240" w:lineRule="auto"/>
        <w:ind w:firstLine="0" w:firstLineChars="0"/>
        <w:rPr>
          <w:rFonts w:hint="eastAsia" w:eastAsiaTheme="minorEastAsia"/>
          <w:lang w:eastAsia="zh-CN"/>
        </w:rPr>
      </w:pPr>
    </w:p>
    <w:p>
      <w:pPr>
        <w:widowControl/>
        <w:spacing w:line="240" w:lineRule="auto"/>
        <w:ind w:firstLine="0" w:firstLineChars="0"/>
        <w:rPr>
          <w:rFonts w:hint="eastAsia" w:eastAsiaTheme="minorEastAsia"/>
          <w:lang w:eastAsia="zh-CN"/>
        </w:rPr>
      </w:pPr>
      <w:r>
        <w:drawing>
          <wp:inline distT="0" distB="0" distL="114300" distR="114300">
            <wp:extent cx="5597525" cy="2105025"/>
            <wp:effectExtent l="0" t="0" r="3175" b="9525"/>
            <wp:docPr id="10" name="图片 10"/>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true"/>
                    </pic:cNvPicPr>
                  </pic:nvPicPr>
                  <pic:blipFill>
                    <a:blip r:embed="rId12"/>
                    <a:stretch>
                      <a:fillRect/>
                    </a:stretch>
                  </pic:blipFill>
                  <pic:spPr>
                    <a:xfrm>
                      <a:off x="0" y="0"/>
                      <a:ext cx="5597525" cy="2105025"/>
                    </a:xfrm>
                    <a:prstGeom prst="rect">
                      <a:avLst/>
                    </a:prstGeom>
                    <a:noFill/>
                    <a:ln>
                      <a:noFill/>
                    </a:ln>
                  </pic:spPr>
                </pic:pic>
              </a:graphicData>
            </a:graphic>
          </wp:inline>
        </w:drawing>
      </w:r>
    </w:p>
    <w:p>
      <w:pPr>
        <w:widowControl/>
        <w:spacing w:line="240" w:lineRule="auto"/>
        <w:ind w:firstLine="0" w:firstLineChars="0"/>
        <w:rPr>
          <w:rFonts w:hint="eastAsia" w:eastAsiaTheme="minorEastAsia"/>
          <w:lang w:eastAsia="zh-CN"/>
        </w:rPr>
      </w:pPr>
    </w:p>
    <w:p>
      <w:pPr>
        <w:widowControl/>
        <w:spacing w:line="240" w:lineRule="auto"/>
        <w:ind w:firstLine="0" w:firstLineChars="0"/>
        <w:rPr>
          <w:rFonts w:ascii="宋体" w:hAnsi="宋体"/>
          <w:b/>
          <w:sz w:val="32"/>
          <w:szCs w:val="32"/>
        </w:rPr>
      </w:pPr>
      <w:r>
        <w:drawing>
          <wp:inline distT="0" distB="0" distL="114300" distR="114300">
            <wp:extent cx="5572125" cy="3695700"/>
            <wp:effectExtent l="0" t="0" r="9525" b="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13"/>
                    <a:stretch>
                      <a:fillRect/>
                    </a:stretch>
                  </pic:blipFill>
                  <pic:spPr>
                    <a:xfrm>
                      <a:off x="0" y="0"/>
                      <a:ext cx="5572125" cy="3695700"/>
                    </a:xfrm>
                    <a:prstGeom prst="rect">
                      <a:avLst/>
                    </a:prstGeom>
                    <a:noFill/>
                    <a:ln>
                      <a:noFill/>
                    </a:ln>
                  </pic:spPr>
                </pic:pic>
              </a:graphicData>
            </a:graphic>
          </wp:inline>
        </w:drawing>
      </w:r>
    </w:p>
    <w:p>
      <w:pPr>
        <w:widowControl/>
        <w:spacing w:line="560" w:lineRule="exact"/>
        <w:ind w:firstLine="642" w:firstLineChars="200"/>
        <w:jc w:val="center"/>
        <w:rPr>
          <w:rFonts w:ascii="宋体" w:hAnsi="宋体"/>
          <w:b/>
          <w:sz w:val="32"/>
          <w:szCs w:val="32"/>
          <w:highlight w:val="none"/>
        </w:rPr>
      </w:pPr>
      <w:r>
        <w:rPr>
          <w:rFonts w:hint="eastAsia" w:ascii="宋体" w:hAnsi="宋体"/>
          <w:b/>
          <w:sz w:val="32"/>
          <w:szCs w:val="32"/>
          <w:highlight w:val="none"/>
        </w:rPr>
        <w:t>第三部分  20</w:t>
      </w:r>
      <w:r>
        <w:rPr>
          <w:rFonts w:hint="eastAsia" w:ascii="宋体" w:hAnsi="宋体"/>
          <w:b/>
          <w:sz w:val="32"/>
          <w:szCs w:val="32"/>
          <w:highlight w:val="none"/>
          <w:lang w:val="en-US" w:eastAsia="zh-CN"/>
        </w:rPr>
        <w:t>21</w:t>
      </w:r>
      <w:r>
        <w:rPr>
          <w:rFonts w:hint="eastAsia" w:ascii="宋体" w:hAnsi="宋体"/>
          <w:b/>
          <w:sz w:val="32"/>
          <w:szCs w:val="32"/>
          <w:highlight w:val="none"/>
        </w:rPr>
        <w:t>年度部门决算情况说明</w:t>
      </w:r>
    </w:p>
    <w:p>
      <w:pPr>
        <w:spacing w:line="560" w:lineRule="exact"/>
        <w:ind w:firstLine="600" w:firstLineChars="200"/>
        <w:jc w:val="left"/>
        <w:rPr>
          <w:rFonts w:ascii="仿宋" w:hAnsi="仿宋" w:eastAsia="仿宋"/>
          <w:sz w:val="30"/>
          <w:szCs w:val="30"/>
        </w:rPr>
      </w:pPr>
    </w:p>
    <w:p>
      <w:pPr>
        <w:spacing w:line="560" w:lineRule="exact"/>
        <w:ind w:firstLine="600" w:firstLineChars="200"/>
        <w:jc w:val="left"/>
        <w:rPr>
          <w:rFonts w:ascii="黑体" w:hAnsi="黑体" w:eastAsia="黑体"/>
          <w:sz w:val="30"/>
          <w:szCs w:val="30"/>
        </w:rPr>
      </w:pPr>
      <w:r>
        <w:rPr>
          <w:rFonts w:hint="eastAsia" w:ascii="黑体" w:hAnsi="黑体" w:eastAsia="黑体"/>
          <w:sz w:val="30"/>
          <w:szCs w:val="30"/>
        </w:rPr>
        <w:t>一、收入决算情况说明</w:t>
      </w:r>
    </w:p>
    <w:p>
      <w:pPr>
        <w:spacing w:line="560" w:lineRule="exact"/>
        <w:ind w:firstLine="600" w:firstLineChars="200"/>
        <w:jc w:val="left"/>
        <w:rPr>
          <w:rFonts w:ascii="仿宋" w:hAnsi="仿宋" w:eastAsia="仿宋"/>
          <w:sz w:val="30"/>
          <w:szCs w:val="30"/>
          <w:highlight w:val="none"/>
        </w:rPr>
      </w:pPr>
      <w:r>
        <w:rPr>
          <w:rFonts w:hint="eastAsia" w:ascii="仿宋" w:hAnsi="仿宋" w:eastAsia="仿宋"/>
          <w:sz w:val="30"/>
          <w:szCs w:val="30"/>
          <w:highlight w:val="none"/>
        </w:rPr>
        <w:t>本</w:t>
      </w:r>
      <w:r>
        <w:rPr>
          <w:rFonts w:hint="eastAsia" w:ascii="仿宋" w:hAnsi="仿宋" w:eastAsia="仿宋"/>
          <w:sz w:val="30"/>
          <w:szCs w:val="30"/>
          <w:highlight w:val="none"/>
          <w:lang w:eastAsia="zh-CN"/>
        </w:rPr>
        <w:t>单位</w:t>
      </w:r>
      <w:r>
        <w:rPr>
          <w:rFonts w:hint="default" w:ascii="仿宋" w:hAnsi="仿宋" w:eastAsia="仿宋"/>
          <w:sz w:val="30"/>
          <w:szCs w:val="30"/>
          <w:highlight w:val="none"/>
          <w:lang w:val="en"/>
        </w:rPr>
        <w:t>2021</w:t>
      </w:r>
      <w:r>
        <w:rPr>
          <w:rFonts w:hint="eastAsia" w:ascii="仿宋" w:hAnsi="仿宋" w:eastAsia="仿宋"/>
          <w:sz w:val="30"/>
          <w:szCs w:val="30"/>
          <w:highlight w:val="none"/>
        </w:rPr>
        <w:t>年度收入总计</w:t>
      </w:r>
      <w:r>
        <w:rPr>
          <w:rFonts w:hint="eastAsia" w:ascii="仿宋" w:hAnsi="仿宋" w:eastAsia="仿宋"/>
          <w:sz w:val="30"/>
          <w:szCs w:val="30"/>
          <w:highlight w:val="none"/>
          <w:lang w:val="en-US" w:eastAsia="zh-CN"/>
        </w:rPr>
        <w:t>2965.85</w:t>
      </w:r>
      <w:r>
        <w:rPr>
          <w:rFonts w:hint="eastAsia" w:ascii="仿宋" w:hAnsi="仿宋" w:eastAsia="仿宋"/>
          <w:sz w:val="30"/>
          <w:szCs w:val="30"/>
          <w:highlight w:val="none"/>
        </w:rPr>
        <w:t>万元，其中年初结转和结余</w:t>
      </w:r>
      <w:r>
        <w:rPr>
          <w:rFonts w:hint="eastAsia" w:ascii="仿宋" w:hAnsi="仿宋" w:eastAsia="仿宋"/>
          <w:sz w:val="30"/>
          <w:szCs w:val="30"/>
          <w:highlight w:val="none"/>
          <w:lang w:val="en-US" w:eastAsia="zh-CN"/>
        </w:rPr>
        <w:t>510.69</w:t>
      </w:r>
      <w:r>
        <w:rPr>
          <w:rFonts w:hint="eastAsia" w:ascii="仿宋" w:hAnsi="仿宋" w:eastAsia="仿宋"/>
          <w:sz w:val="30"/>
          <w:szCs w:val="30"/>
          <w:highlight w:val="none"/>
        </w:rPr>
        <w:t xml:space="preserve"> 万元，较20</w:t>
      </w:r>
      <w:r>
        <w:rPr>
          <w:rFonts w:hint="eastAsia" w:ascii="仿宋" w:hAnsi="仿宋" w:eastAsia="仿宋"/>
          <w:sz w:val="30"/>
          <w:szCs w:val="30"/>
          <w:highlight w:val="none"/>
          <w:lang w:val="en-US" w:eastAsia="zh-CN"/>
        </w:rPr>
        <w:t>20</w:t>
      </w:r>
      <w:r>
        <w:rPr>
          <w:rFonts w:hint="eastAsia" w:ascii="仿宋" w:hAnsi="仿宋" w:eastAsia="仿宋"/>
          <w:sz w:val="30"/>
          <w:szCs w:val="30"/>
          <w:highlight w:val="none"/>
        </w:rPr>
        <w:t>年</w:t>
      </w:r>
      <w:r>
        <w:rPr>
          <w:rFonts w:hint="eastAsia" w:ascii="仿宋" w:hAnsi="仿宋" w:eastAsia="仿宋"/>
          <w:sz w:val="30"/>
          <w:szCs w:val="30"/>
          <w:highlight w:val="none"/>
          <w:lang w:eastAsia="zh-CN"/>
        </w:rPr>
        <w:t>减少</w:t>
      </w:r>
      <w:r>
        <w:rPr>
          <w:rFonts w:hint="eastAsia" w:ascii="仿宋" w:hAnsi="仿宋" w:eastAsia="仿宋"/>
          <w:sz w:val="30"/>
          <w:szCs w:val="30"/>
          <w:highlight w:val="none"/>
          <w:lang w:val="en-US" w:eastAsia="zh-CN"/>
        </w:rPr>
        <w:t>947.89</w:t>
      </w:r>
      <w:r>
        <w:rPr>
          <w:rFonts w:hint="eastAsia" w:ascii="仿宋" w:hAnsi="仿宋" w:eastAsia="仿宋"/>
          <w:sz w:val="30"/>
          <w:szCs w:val="30"/>
          <w:highlight w:val="none"/>
        </w:rPr>
        <w:t>万元，减少</w:t>
      </w:r>
      <w:r>
        <w:rPr>
          <w:rFonts w:hint="eastAsia" w:ascii="仿宋" w:hAnsi="仿宋" w:eastAsia="仿宋"/>
          <w:sz w:val="30"/>
          <w:szCs w:val="30"/>
          <w:highlight w:val="none"/>
          <w:lang w:val="en-US" w:eastAsia="zh-CN"/>
        </w:rPr>
        <w:t>64.98</w:t>
      </w:r>
      <w:r>
        <w:rPr>
          <w:rFonts w:hint="eastAsia" w:ascii="仿宋" w:hAnsi="仿宋" w:eastAsia="仿宋"/>
          <w:sz w:val="30"/>
          <w:szCs w:val="30"/>
          <w:highlight w:val="none"/>
        </w:rPr>
        <w:t>%；本年收入合计</w:t>
      </w:r>
      <w:r>
        <w:rPr>
          <w:rFonts w:hint="eastAsia" w:ascii="仿宋" w:hAnsi="仿宋" w:eastAsia="仿宋"/>
          <w:sz w:val="30"/>
          <w:szCs w:val="30"/>
          <w:highlight w:val="none"/>
          <w:lang w:val="en-US" w:eastAsia="zh-CN"/>
        </w:rPr>
        <w:t>2455.16</w:t>
      </w:r>
      <w:r>
        <w:rPr>
          <w:rFonts w:hint="eastAsia" w:ascii="仿宋" w:hAnsi="仿宋" w:eastAsia="仿宋"/>
          <w:sz w:val="30"/>
          <w:szCs w:val="30"/>
          <w:highlight w:val="none"/>
        </w:rPr>
        <w:t>万元，较20</w:t>
      </w:r>
      <w:r>
        <w:rPr>
          <w:rFonts w:hint="eastAsia" w:ascii="仿宋" w:hAnsi="仿宋" w:eastAsia="仿宋"/>
          <w:sz w:val="30"/>
          <w:szCs w:val="30"/>
          <w:highlight w:val="none"/>
          <w:lang w:val="en-US" w:eastAsia="zh-CN"/>
        </w:rPr>
        <w:t>20</w:t>
      </w:r>
      <w:r>
        <w:rPr>
          <w:rFonts w:hint="eastAsia" w:ascii="仿宋" w:hAnsi="仿宋" w:eastAsia="仿宋"/>
          <w:sz w:val="30"/>
          <w:szCs w:val="30"/>
          <w:highlight w:val="none"/>
        </w:rPr>
        <w:t>年</w:t>
      </w:r>
      <w:r>
        <w:rPr>
          <w:rFonts w:hint="eastAsia" w:ascii="仿宋" w:hAnsi="仿宋" w:eastAsia="仿宋"/>
          <w:sz w:val="30"/>
          <w:szCs w:val="30"/>
          <w:highlight w:val="none"/>
          <w:lang w:eastAsia="zh-CN"/>
        </w:rPr>
        <w:t>增加</w:t>
      </w:r>
      <w:r>
        <w:rPr>
          <w:rFonts w:hint="eastAsia" w:ascii="仿宋" w:hAnsi="仿宋" w:eastAsia="仿宋"/>
          <w:sz w:val="30"/>
          <w:szCs w:val="30"/>
          <w:highlight w:val="none"/>
          <w:lang w:val="en-US" w:eastAsia="zh-CN"/>
        </w:rPr>
        <w:t>30.41</w:t>
      </w:r>
      <w:r>
        <w:rPr>
          <w:rFonts w:hint="eastAsia" w:ascii="仿宋" w:hAnsi="仿宋" w:eastAsia="仿宋"/>
          <w:sz w:val="30"/>
          <w:szCs w:val="30"/>
          <w:highlight w:val="none"/>
        </w:rPr>
        <w:t xml:space="preserve"> 万元，</w:t>
      </w:r>
      <w:r>
        <w:rPr>
          <w:rFonts w:hint="eastAsia" w:ascii="仿宋" w:hAnsi="仿宋" w:eastAsia="仿宋"/>
          <w:sz w:val="30"/>
          <w:szCs w:val="30"/>
          <w:highlight w:val="none"/>
          <w:lang w:eastAsia="zh-CN"/>
        </w:rPr>
        <w:t>减少</w:t>
      </w:r>
      <w:r>
        <w:rPr>
          <w:rFonts w:hint="eastAsia" w:ascii="仿宋" w:hAnsi="仿宋" w:eastAsia="仿宋"/>
          <w:sz w:val="30"/>
          <w:szCs w:val="30"/>
          <w:highlight w:val="none"/>
          <w:lang w:val="en-US" w:eastAsia="zh-CN"/>
        </w:rPr>
        <w:t>1.25</w:t>
      </w:r>
      <w:r>
        <w:rPr>
          <w:rFonts w:hint="eastAsia" w:ascii="仿宋" w:hAnsi="仿宋" w:eastAsia="仿宋"/>
          <w:sz w:val="30"/>
          <w:szCs w:val="30"/>
          <w:highlight w:val="none"/>
        </w:rPr>
        <w:t>%，主要原因是</w:t>
      </w:r>
      <w:r>
        <w:rPr>
          <w:rFonts w:hint="eastAsia" w:ascii="仿宋" w:hAnsi="仿宋" w:eastAsia="仿宋"/>
          <w:sz w:val="30"/>
          <w:szCs w:val="30"/>
          <w:highlight w:val="none"/>
          <w:lang w:eastAsia="zh-CN"/>
        </w:rPr>
        <w:t>：受疫情影响，缩减开支和加快结转结余资金使用进度</w:t>
      </w:r>
      <w:r>
        <w:rPr>
          <w:rFonts w:hint="eastAsia" w:ascii="仿宋" w:hAnsi="仿宋" w:eastAsia="仿宋"/>
          <w:sz w:val="30"/>
          <w:szCs w:val="30"/>
          <w:highlight w:val="none"/>
        </w:rPr>
        <w:t>。</w:t>
      </w:r>
    </w:p>
    <w:p>
      <w:pPr>
        <w:spacing w:line="560" w:lineRule="exact"/>
        <w:ind w:firstLine="600" w:firstLineChars="200"/>
        <w:jc w:val="left"/>
        <w:rPr>
          <w:rFonts w:ascii="仿宋" w:hAnsi="仿宋" w:eastAsia="仿宋"/>
          <w:sz w:val="30"/>
          <w:szCs w:val="30"/>
          <w:highlight w:val="none"/>
        </w:rPr>
      </w:pPr>
      <w:r>
        <w:rPr>
          <w:rFonts w:hint="eastAsia" w:ascii="仿宋" w:hAnsi="仿宋" w:eastAsia="仿宋"/>
          <w:sz w:val="30"/>
          <w:szCs w:val="30"/>
          <w:highlight w:val="none"/>
        </w:rPr>
        <w:t>本年收入的具体构成为：财政拨款收入</w:t>
      </w:r>
      <w:r>
        <w:rPr>
          <w:rFonts w:hint="eastAsia" w:ascii="仿宋" w:hAnsi="仿宋" w:eastAsia="仿宋"/>
          <w:sz w:val="30"/>
          <w:szCs w:val="30"/>
          <w:highlight w:val="none"/>
          <w:lang w:val="en-US" w:eastAsia="zh-CN"/>
        </w:rPr>
        <w:t>2455.16</w:t>
      </w:r>
      <w:r>
        <w:rPr>
          <w:rFonts w:hint="eastAsia" w:ascii="仿宋" w:hAnsi="仿宋" w:eastAsia="仿宋"/>
          <w:sz w:val="30"/>
          <w:szCs w:val="30"/>
          <w:highlight w:val="none"/>
        </w:rPr>
        <w:t xml:space="preserve">万元，占100%；事业收入 0万元，占 0%；经营收入0万元，占0%；其他收入0万元，占0%。  </w:t>
      </w:r>
    </w:p>
    <w:p>
      <w:pPr>
        <w:spacing w:line="560" w:lineRule="exact"/>
        <w:ind w:firstLine="600" w:firstLineChars="200"/>
        <w:jc w:val="left"/>
        <w:rPr>
          <w:rFonts w:ascii="黑体" w:hAnsi="黑体" w:eastAsia="黑体"/>
          <w:sz w:val="30"/>
          <w:szCs w:val="30"/>
          <w:highlight w:val="none"/>
        </w:rPr>
      </w:pPr>
      <w:r>
        <w:rPr>
          <w:rFonts w:hint="eastAsia" w:ascii="黑体" w:hAnsi="黑体" w:eastAsia="黑体"/>
          <w:sz w:val="30"/>
          <w:szCs w:val="30"/>
          <w:highlight w:val="none"/>
        </w:rPr>
        <w:t>二、支出决算情况说明</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highlight w:val="none"/>
        </w:rPr>
        <w:t>本</w:t>
      </w:r>
      <w:r>
        <w:rPr>
          <w:rFonts w:hint="eastAsia" w:ascii="仿宋" w:hAnsi="仿宋" w:eastAsia="仿宋"/>
          <w:sz w:val="30"/>
          <w:szCs w:val="30"/>
          <w:highlight w:val="none"/>
          <w:lang w:eastAsia="zh-CN"/>
        </w:rPr>
        <w:t>单位</w:t>
      </w:r>
      <w:r>
        <w:rPr>
          <w:rFonts w:hint="default" w:ascii="仿宋" w:hAnsi="仿宋" w:eastAsia="仿宋"/>
          <w:sz w:val="30"/>
          <w:szCs w:val="30"/>
          <w:highlight w:val="none"/>
          <w:lang w:val="en"/>
        </w:rPr>
        <w:t>2021</w:t>
      </w:r>
      <w:r>
        <w:rPr>
          <w:rFonts w:hint="eastAsia" w:ascii="仿宋" w:hAnsi="仿宋" w:eastAsia="仿宋"/>
          <w:sz w:val="30"/>
          <w:szCs w:val="30"/>
          <w:highlight w:val="none"/>
        </w:rPr>
        <w:t>年度支出总计</w:t>
      </w:r>
      <w:r>
        <w:rPr>
          <w:rFonts w:hint="eastAsia" w:ascii="仿宋" w:hAnsi="仿宋" w:eastAsia="仿宋"/>
          <w:sz w:val="30"/>
          <w:szCs w:val="30"/>
          <w:highlight w:val="none"/>
          <w:lang w:val="en-US" w:eastAsia="zh-CN"/>
        </w:rPr>
        <w:t>2965.85</w:t>
      </w:r>
      <w:r>
        <w:rPr>
          <w:rFonts w:hint="eastAsia" w:ascii="仿宋" w:hAnsi="仿宋" w:eastAsia="仿宋"/>
          <w:sz w:val="30"/>
          <w:szCs w:val="30"/>
          <w:highlight w:val="none"/>
        </w:rPr>
        <w:t xml:space="preserve">万元，其中本年支出合计   </w:t>
      </w:r>
      <w:r>
        <w:rPr>
          <w:rFonts w:hint="eastAsia" w:ascii="仿宋" w:hAnsi="仿宋" w:eastAsia="仿宋"/>
          <w:sz w:val="30"/>
          <w:szCs w:val="30"/>
          <w:highlight w:val="none"/>
          <w:lang w:val="en-US" w:eastAsia="zh-CN"/>
        </w:rPr>
        <w:t>2965.85</w:t>
      </w:r>
      <w:r>
        <w:rPr>
          <w:rFonts w:hint="eastAsia" w:ascii="仿宋" w:hAnsi="仿宋" w:eastAsia="仿宋"/>
          <w:sz w:val="30"/>
          <w:szCs w:val="30"/>
          <w:highlight w:val="none"/>
        </w:rPr>
        <w:t>万元，较</w:t>
      </w:r>
      <w:r>
        <w:rPr>
          <w:rFonts w:hint="eastAsia" w:ascii="仿宋" w:hAnsi="仿宋" w:eastAsia="仿宋"/>
          <w:sz w:val="30"/>
          <w:szCs w:val="30"/>
          <w:highlight w:val="none"/>
          <w:lang w:val="en-US" w:eastAsia="zh-CN"/>
        </w:rPr>
        <w:t>2020</w:t>
      </w:r>
      <w:r>
        <w:rPr>
          <w:rFonts w:hint="eastAsia" w:ascii="仿宋" w:hAnsi="仿宋" w:eastAsia="仿宋"/>
          <w:sz w:val="30"/>
          <w:szCs w:val="30"/>
          <w:highlight w:val="none"/>
        </w:rPr>
        <w:t>年</w:t>
      </w:r>
      <w:r>
        <w:rPr>
          <w:rFonts w:hint="eastAsia" w:ascii="仿宋" w:hAnsi="仿宋" w:eastAsia="仿宋"/>
          <w:sz w:val="30"/>
          <w:szCs w:val="30"/>
          <w:highlight w:val="none"/>
          <w:lang w:eastAsia="zh-CN"/>
        </w:rPr>
        <w:t>增加</w:t>
      </w:r>
      <w:r>
        <w:rPr>
          <w:rFonts w:hint="eastAsia" w:ascii="仿宋" w:hAnsi="仿宋" w:eastAsia="仿宋"/>
          <w:sz w:val="30"/>
          <w:szCs w:val="30"/>
          <w:highlight w:val="none"/>
          <w:lang w:val="en-US" w:eastAsia="zh-CN"/>
        </w:rPr>
        <w:t>29.9</w:t>
      </w:r>
      <w:r>
        <w:rPr>
          <w:rFonts w:hint="eastAsia" w:ascii="仿宋" w:hAnsi="仿宋" w:eastAsia="仿宋"/>
          <w:sz w:val="30"/>
          <w:szCs w:val="30"/>
          <w:highlight w:val="none"/>
        </w:rPr>
        <w:t>万元，</w:t>
      </w:r>
      <w:r>
        <w:rPr>
          <w:rFonts w:hint="eastAsia" w:ascii="仿宋" w:hAnsi="仿宋" w:eastAsia="仿宋"/>
          <w:sz w:val="30"/>
          <w:szCs w:val="30"/>
          <w:highlight w:val="none"/>
          <w:lang w:eastAsia="zh-CN"/>
        </w:rPr>
        <w:t>增加</w:t>
      </w:r>
      <w:r>
        <w:rPr>
          <w:rFonts w:hint="eastAsia" w:ascii="仿宋" w:hAnsi="仿宋" w:eastAsia="仿宋"/>
          <w:sz w:val="30"/>
          <w:szCs w:val="30"/>
          <w:highlight w:val="none"/>
          <w:lang w:val="en-US" w:eastAsia="zh-CN"/>
        </w:rPr>
        <w:t>1.01</w:t>
      </w:r>
      <w:r>
        <w:rPr>
          <w:rFonts w:hint="eastAsia" w:ascii="仿宋" w:hAnsi="仿宋" w:eastAsia="仿宋"/>
          <w:sz w:val="30"/>
          <w:szCs w:val="30"/>
          <w:highlight w:val="none"/>
        </w:rPr>
        <w:t xml:space="preserve"> %，主要原因是：</w:t>
      </w:r>
      <w:r>
        <w:rPr>
          <w:rFonts w:hint="default" w:ascii="仿宋" w:hAnsi="仿宋" w:eastAsia="仿宋"/>
          <w:sz w:val="30"/>
          <w:szCs w:val="30"/>
          <w:highlight w:val="none"/>
          <w:lang w:val="en"/>
        </w:rPr>
        <w:t>2021</w:t>
      </w:r>
      <w:r>
        <w:rPr>
          <w:rFonts w:hint="eastAsia" w:ascii="仿宋" w:hAnsi="仿宋" w:eastAsia="仿宋"/>
          <w:sz w:val="30"/>
          <w:szCs w:val="30"/>
          <w:highlight w:val="none"/>
        </w:rPr>
        <w:t>年</w:t>
      </w:r>
      <w:r>
        <w:rPr>
          <w:rFonts w:hint="eastAsia" w:ascii="仿宋" w:hAnsi="仿宋" w:eastAsia="仿宋"/>
          <w:sz w:val="30"/>
          <w:szCs w:val="30"/>
          <w:highlight w:val="none"/>
          <w:lang w:eastAsia="zh-CN"/>
        </w:rPr>
        <w:t>加快资金使用进度</w:t>
      </w:r>
      <w:r>
        <w:rPr>
          <w:rFonts w:hint="eastAsia" w:ascii="仿宋" w:hAnsi="仿宋" w:eastAsia="仿宋"/>
          <w:sz w:val="30"/>
          <w:szCs w:val="30"/>
          <w:highlight w:val="none"/>
        </w:rPr>
        <w:t>；年末结转和结余</w:t>
      </w:r>
      <w:r>
        <w:rPr>
          <w:rFonts w:hint="eastAsia" w:ascii="仿宋" w:hAnsi="仿宋" w:eastAsia="仿宋"/>
          <w:sz w:val="30"/>
          <w:szCs w:val="30"/>
          <w:highlight w:val="none"/>
          <w:lang w:val="en-US" w:eastAsia="zh-CN"/>
        </w:rPr>
        <w:t>0</w:t>
      </w:r>
      <w:r>
        <w:rPr>
          <w:rFonts w:hint="eastAsia" w:ascii="仿宋" w:hAnsi="仿宋" w:eastAsia="仿宋"/>
          <w:sz w:val="30"/>
          <w:szCs w:val="30"/>
          <w:highlight w:val="none"/>
        </w:rPr>
        <w:t>万元，较</w:t>
      </w:r>
      <w:r>
        <w:rPr>
          <w:rFonts w:hint="eastAsia" w:ascii="仿宋" w:hAnsi="仿宋" w:eastAsia="仿宋"/>
          <w:sz w:val="30"/>
          <w:szCs w:val="30"/>
          <w:highlight w:val="none"/>
          <w:lang w:val="en-US" w:eastAsia="zh-CN"/>
        </w:rPr>
        <w:t>2020</w:t>
      </w:r>
      <w:r>
        <w:rPr>
          <w:rFonts w:hint="eastAsia" w:ascii="仿宋" w:hAnsi="仿宋" w:eastAsia="仿宋"/>
          <w:sz w:val="30"/>
          <w:szCs w:val="30"/>
          <w:highlight w:val="none"/>
        </w:rPr>
        <w:t>年</w:t>
      </w:r>
      <w:r>
        <w:rPr>
          <w:rFonts w:hint="eastAsia" w:ascii="仿宋" w:hAnsi="仿宋" w:eastAsia="仿宋"/>
          <w:sz w:val="30"/>
          <w:szCs w:val="30"/>
          <w:highlight w:val="none"/>
          <w:lang w:eastAsia="zh-CN"/>
        </w:rPr>
        <w:t>减少</w:t>
      </w:r>
      <w:r>
        <w:rPr>
          <w:rFonts w:hint="eastAsia" w:ascii="仿宋" w:hAnsi="仿宋" w:eastAsia="仿宋"/>
          <w:sz w:val="30"/>
          <w:szCs w:val="30"/>
          <w:highlight w:val="none"/>
          <w:lang w:val="en-US" w:eastAsia="zh-CN"/>
        </w:rPr>
        <w:t>947.38</w:t>
      </w:r>
      <w:r>
        <w:rPr>
          <w:rFonts w:hint="eastAsia" w:ascii="仿宋" w:hAnsi="仿宋" w:eastAsia="仿宋"/>
          <w:sz w:val="30"/>
          <w:szCs w:val="30"/>
          <w:highlight w:val="none"/>
        </w:rPr>
        <w:t>万元，</w:t>
      </w:r>
      <w:r>
        <w:rPr>
          <w:rFonts w:hint="eastAsia" w:ascii="仿宋" w:hAnsi="仿宋" w:eastAsia="仿宋"/>
          <w:sz w:val="30"/>
          <w:szCs w:val="30"/>
          <w:highlight w:val="none"/>
          <w:lang w:eastAsia="zh-CN"/>
        </w:rPr>
        <w:t>减少</w:t>
      </w:r>
      <w:r>
        <w:rPr>
          <w:rFonts w:hint="eastAsia" w:ascii="仿宋" w:hAnsi="仿宋" w:eastAsia="仿宋"/>
          <w:sz w:val="30"/>
          <w:szCs w:val="30"/>
          <w:highlight w:val="none"/>
          <w:lang w:val="en-US" w:eastAsia="zh-CN"/>
        </w:rPr>
        <w:t>100</w:t>
      </w:r>
      <w:r>
        <w:rPr>
          <w:rFonts w:hint="eastAsia" w:ascii="仿宋" w:hAnsi="仿宋" w:eastAsia="仿宋"/>
          <w:sz w:val="30"/>
          <w:szCs w:val="30"/>
          <w:highlight w:val="none"/>
        </w:rPr>
        <w:t>%，主要原因是：</w:t>
      </w:r>
      <w:r>
        <w:rPr>
          <w:rFonts w:hint="eastAsia" w:ascii="仿宋" w:hAnsi="仿宋" w:eastAsia="仿宋"/>
          <w:sz w:val="30"/>
          <w:szCs w:val="30"/>
          <w:highlight w:val="none"/>
          <w:lang w:val="en-US" w:eastAsia="zh-CN"/>
        </w:rPr>
        <w:t>2021年预算一体化改革，</w:t>
      </w:r>
      <w:r>
        <w:rPr>
          <w:rFonts w:hint="eastAsia" w:ascii="仿宋" w:hAnsi="仿宋" w:eastAsia="仿宋"/>
          <w:sz w:val="30"/>
          <w:szCs w:val="30"/>
          <w:highlight w:val="none"/>
        </w:rPr>
        <w:t>年末结转和结余</w:t>
      </w:r>
      <w:r>
        <w:rPr>
          <w:rFonts w:hint="eastAsia" w:ascii="仿宋" w:hAnsi="仿宋" w:eastAsia="仿宋"/>
          <w:sz w:val="30"/>
          <w:szCs w:val="30"/>
          <w:lang w:val="en-US" w:eastAsia="zh-CN"/>
        </w:rPr>
        <w:t>为0</w:t>
      </w:r>
      <w:r>
        <w:rPr>
          <w:rFonts w:hint="eastAsia" w:ascii="仿宋" w:hAnsi="仿宋" w:eastAsia="仿宋"/>
          <w:sz w:val="30"/>
          <w:szCs w:val="30"/>
        </w:rPr>
        <w:t>万元。</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本年支出的具体构成为：基本支出</w:t>
      </w:r>
      <w:r>
        <w:rPr>
          <w:rFonts w:hint="eastAsia" w:ascii="仿宋" w:hAnsi="仿宋" w:eastAsia="仿宋"/>
          <w:sz w:val="30"/>
          <w:szCs w:val="30"/>
          <w:lang w:val="en-US" w:eastAsia="zh-CN"/>
        </w:rPr>
        <w:t>1522.93</w:t>
      </w:r>
      <w:r>
        <w:rPr>
          <w:rFonts w:hint="eastAsia" w:ascii="仿宋" w:hAnsi="仿宋" w:eastAsia="仿宋"/>
          <w:sz w:val="30"/>
          <w:szCs w:val="30"/>
        </w:rPr>
        <w:t>万元，占</w:t>
      </w:r>
      <w:r>
        <w:rPr>
          <w:rFonts w:hint="eastAsia" w:ascii="仿宋" w:hAnsi="仿宋" w:eastAsia="仿宋"/>
          <w:sz w:val="30"/>
          <w:szCs w:val="30"/>
          <w:lang w:val="en-US" w:eastAsia="zh-CN"/>
        </w:rPr>
        <w:t>51.35</w:t>
      </w:r>
      <w:r>
        <w:rPr>
          <w:rFonts w:hint="eastAsia" w:ascii="仿宋" w:hAnsi="仿宋" w:eastAsia="仿宋"/>
          <w:sz w:val="30"/>
          <w:szCs w:val="30"/>
        </w:rPr>
        <w:t>%；项目支出</w:t>
      </w:r>
      <w:r>
        <w:rPr>
          <w:rFonts w:hint="eastAsia" w:ascii="仿宋" w:hAnsi="仿宋" w:eastAsia="仿宋"/>
          <w:sz w:val="30"/>
          <w:szCs w:val="30"/>
          <w:lang w:val="en-US" w:eastAsia="zh-CN"/>
        </w:rPr>
        <w:t>1442.92</w:t>
      </w:r>
      <w:r>
        <w:rPr>
          <w:rFonts w:hint="eastAsia" w:ascii="仿宋" w:hAnsi="仿宋" w:eastAsia="仿宋"/>
          <w:sz w:val="30"/>
          <w:szCs w:val="30"/>
        </w:rPr>
        <w:t>万元，占</w:t>
      </w:r>
      <w:r>
        <w:rPr>
          <w:rFonts w:hint="eastAsia" w:ascii="仿宋" w:hAnsi="仿宋" w:eastAsia="仿宋"/>
          <w:sz w:val="30"/>
          <w:szCs w:val="30"/>
          <w:lang w:val="en-US" w:eastAsia="zh-CN"/>
        </w:rPr>
        <w:t>48.65</w:t>
      </w:r>
      <w:r>
        <w:rPr>
          <w:rFonts w:hint="eastAsia" w:ascii="仿宋" w:hAnsi="仿宋" w:eastAsia="仿宋"/>
          <w:sz w:val="30"/>
          <w:szCs w:val="30"/>
        </w:rPr>
        <w:t>%；经营支出 0万元，占0 %；其他支出（对附属单位补助支出、上缴上级支出）  0 万元，占0 %。</w:t>
      </w:r>
    </w:p>
    <w:p>
      <w:pPr>
        <w:spacing w:line="560" w:lineRule="exact"/>
        <w:ind w:firstLine="600" w:firstLineChars="200"/>
        <w:jc w:val="left"/>
        <w:rPr>
          <w:rFonts w:ascii="黑体" w:hAnsi="黑体" w:eastAsia="黑体"/>
          <w:sz w:val="30"/>
          <w:szCs w:val="30"/>
          <w:highlight w:val="none"/>
        </w:rPr>
      </w:pPr>
      <w:r>
        <w:rPr>
          <w:rFonts w:hint="eastAsia" w:ascii="黑体" w:hAnsi="黑体" w:eastAsia="黑体"/>
          <w:sz w:val="30"/>
          <w:szCs w:val="30"/>
          <w:highlight w:val="none"/>
        </w:rPr>
        <w:t>三、财政拨款支出决算情况说明</w:t>
      </w:r>
    </w:p>
    <w:p>
      <w:pPr>
        <w:spacing w:line="560" w:lineRule="exact"/>
        <w:ind w:firstLine="600" w:firstLineChars="200"/>
        <w:jc w:val="left"/>
        <w:rPr>
          <w:rFonts w:ascii="仿宋" w:hAnsi="仿宋" w:eastAsia="仿宋"/>
          <w:sz w:val="30"/>
          <w:szCs w:val="30"/>
          <w:highlight w:val="none"/>
        </w:rPr>
      </w:pPr>
      <w:r>
        <w:rPr>
          <w:rFonts w:hint="eastAsia" w:ascii="仿宋" w:hAnsi="仿宋" w:eastAsia="仿宋"/>
          <w:sz w:val="30"/>
          <w:szCs w:val="30"/>
          <w:highlight w:val="none"/>
        </w:rPr>
        <w:t>本</w:t>
      </w:r>
      <w:r>
        <w:rPr>
          <w:rFonts w:hint="eastAsia" w:ascii="仿宋" w:hAnsi="仿宋" w:eastAsia="仿宋"/>
          <w:sz w:val="30"/>
          <w:szCs w:val="30"/>
          <w:highlight w:val="none"/>
          <w:lang w:eastAsia="zh-CN"/>
        </w:rPr>
        <w:t>单位</w:t>
      </w:r>
      <w:r>
        <w:rPr>
          <w:rFonts w:hint="default" w:ascii="仿宋" w:hAnsi="仿宋" w:eastAsia="仿宋"/>
          <w:sz w:val="30"/>
          <w:szCs w:val="30"/>
          <w:highlight w:val="none"/>
          <w:lang w:val="en"/>
        </w:rPr>
        <w:t>2021</w:t>
      </w:r>
      <w:r>
        <w:rPr>
          <w:rFonts w:hint="eastAsia" w:ascii="仿宋" w:hAnsi="仿宋" w:eastAsia="仿宋"/>
          <w:sz w:val="30"/>
          <w:szCs w:val="30"/>
          <w:highlight w:val="none"/>
        </w:rPr>
        <w:t>年度财政拨款本年支出年初预算数为</w:t>
      </w:r>
      <w:r>
        <w:rPr>
          <w:rFonts w:hint="eastAsia" w:ascii="仿宋" w:hAnsi="仿宋" w:eastAsia="仿宋"/>
          <w:sz w:val="30"/>
          <w:szCs w:val="30"/>
          <w:highlight w:val="none"/>
          <w:lang w:val="en-US" w:eastAsia="zh-CN"/>
        </w:rPr>
        <w:t>1805.21</w:t>
      </w:r>
      <w:r>
        <w:rPr>
          <w:rFonts w:hint="eastAsia" w:ascii="仿宋" w:hAnsi="仿宋" w:eastAsia="仿宋"/>
          <w:sz w:val="30"/>
          <w:szCs w:val="30"/>
          <w:highlight w:val="none"/>
          <w:lang w:val="en" w:eastAsia="zh-CN"/>
        </w:rPr>
        <w:t>万元，</w:t>
      </w:r>
      <w:r>
        <w:rPr>
          <w:rFonts w:hint="eastAsia" w:ascii="仿宋" w:hAnsi="仿宋" w:eastAsia="仿宋"/>
          <w:sz w:val="30"/>
          <w:szCs w:val="30"/>
          <w:highlight w:val="none"/>
        </w:rPr>
        <w:t>决算数为</w:t>
      </w:r>
      <w:r>
        <w:rPr>
          <w:rFonts w:hint="eastAsia" w:ascii="仿宋" w:hAnsi="仿宋" w:eastAsia="仿宋"/>
          <w:sz w:val="30"/>
          <w:szCs w:val="30"/>
          <w:highlight w:val="none"/>
          <w:lang w:val="en-US" w:eastAsia="zh-CN"/>
        </w:rPr>
        <w:t>2965.85</w:t>
      </w:r>
      <w:r>
        <w:rPr>
          <w:rFonts w:hint="eastAsia" w:ascii="仿宋" w:hAnsi="仿宋" w:eastAsia="仿宋"/>
          <w:sz w:val="30"/>
          <w:szCs w:val="30"/>
          <w:highlight w:val="none"/>
        </w:rPr>
        <w:t>万元，完成年初预算的</w:t>
      </w:r>
      <w:r>
        <w:rPr>
          <w:rFonts w:hint="eastAsia" w:ascii="仿宋" w:hAnsi="仿宋" w:eastAsia="仿宋"/>
          <w:sz w:val="30"/>
          <w:szCs w:val="30"/>
          <w:highlight w:val="none"/>
          <w:lang w:val="en-US" w:eastAsia="zh-CN"/>
        </w:rPr>
        <w:t>164.29</w:t>
      </w:r>
      <w:r>
        <w:rPr>
          <w:rFonts w:hint="eastAsia" w:ascii="仿宋" w:hAnsi="仿宋" w:eastAsia="仿宋"/>
          <w:sz w:val="30"/>
          <w:szCs w:val="30"/>
          <w:highlight w:val="none"/>
        </w:rPr>
        <w:t>%。其中：</w:t>
      </w:r>
    </w:p>
    <w:p>
      <w:pPr>
        <w:numPr>
          <w:ilvl w:val="0"/>
          <w:numId w:val="2"/>
        </w:numPr>
        <w:spacing w:line="560" w:lineRule="exact"/>
        <w:ind w:firstLine="600" w:firstLineChars="200"/>
        <w:jc w:val="left"/>
        <w:rPr>
          <w:rFonts w:ascii="仿宋" w:hAnsi="仿宋" w:eastAsia="仿宋"/>
          <w:sz w:val="30"/>
          <w:szCs w:val="30"/>
        </w:rPr>
      </w:pPr>
      <w:r>
        <w:rPr>
          <w:rFonts w:hint="eastAsia" w:ascii="仿宋" w:hAnsi="仿宋" w:eastAsia="仿宋"/>
          <w:sz w:val="30"/>
          <w:szCs w:val="30"/>
          <w:highlight w:val="none"/>
        </w:rPr>
        <w:t>一般公共服务支出年初预算数为10</w:t>
      </w:r>
      <w:r>
        <w:rPr>
          <w:rFonts w:hint="eastAsia" w:ascii="仿宋" w:hAnsi="仿宋" w:eastAsia="仿宋"/>
          <w:sz w:val="30"/>
          <w:szCs w:val="30"/>
          <w:highlight w:val="none"/>
          <w:lang w:val="en-US" w:eastAsia="zh-CN"/>
        </w:rPr>
        <w:t>83.23</w:t>
      </w:r>
      <w:r>
        <w:rPr>
          <w:rFonts w:hint="eastAsia" w:ascii="仿宋" w:hAnsi="仿宋" w:eastAsia="仿宋"/>
          <w:sz w:val="30"/>
          <w:szCs w:val="30"/>
          <w:highlight w:val="none"/>
        </w:rPr>
        <w:t xml:space="preserve">万元，决算数为  </w:t>
      </w:r>
      <w:r>
        <w:rPr>
          <w:rFonts w:hint="eastAsia" w:ascii="仿宋" w:hAnsi="仿宋" w:eastAsia="仿宋"/>
          <w:sz w:val="30"/>
          <w:szCs w:val="30"/>
          <w:highlight w:val="none"/>
          <w:lang w:val="en-US" w:eastAsia="zh-CN"/>
        </w:rPr>
        <w:t>1503.06</w:t>
      </w:r>
      <w:r>
        <w:rPr>
          <w:rFonts w:hint="eastAsia" w:ascii="仿宋" w:hAnsi="仿宋" w:eastAsia="仿宋"/>
          <w:sz w:val="30"/>
          <w:szCs w:val="30"/>
          <w:highlight w:val="none"/>
        </w:rPr>
        <w:t>万元，完</w:t>
      </w:r>
      <w:r>
        <w:rPr>
          <w:rFonts w:hint="eastAsia" w:ascii="仿宋" w:hAnsi="仿宋" w:eastAsia="仿宋"/>
          <w:sz w:val="30"/>
          <w:szCs w:val="30"/>
        </w:rPr>
        <w:t>成年初预算的</w:t>
      </w:r>
      <w:r>
        <w:rPr>
          <w:rFonts w:hint="eastAsia" w:ascii="仿宋" w:hAnsi="仿宋" w:eastAsia="仿宋"/>
          <w:sz w:val="30"/>
          <w:szCs w:val="30"/>
          <w:lang w:val="en-US" w:eastAsia="zh-CN"/>
        </w:rPr>
        <w:t>138.75</w:t>
      </w:r>
      <w:r>
        <w:rPr>
          <w:rFonts w:hint="eastAsia" w:ascii="仿宋" w:hAnsi="仿宋" w:eastAsia="仿宋"/>
          <w:sz w:val="30"/>
          <w:szCs w:val="30"/>
        </w:rPr>
        <w:t>%，主要原因是：</w:t>
      </w:r>
      <w:r>
        <w:rPr>
          <w:rFonts w:hint="eastAsia" w:ascii="仿宋" w:hAnsi="仿宋" w:eastAsia="仿宋"/>
          <w:sz w:val="30"/>
          <w:szCs w:val="30"/>
          <w:lang w:eastAsia="zh-CN"/>
        </w:rPr>
        <w:t>增加开放型经济招商活动经费等</w:t>
      </w:r>
      <w:r>
        <w:rPr>
          <w:rFonts w:hint="eastAsia" w:ascii="仿宋" w:hAnsi="仿宋" w:eastAsia="仿宋"/>
          <w:sz w:val="30"/>
          <w:szCs w:val="30"/>
        </w:rPr>
        <w:t>。</w:t>
      </w:r>
    </w:p>
    <w:p>
      <w:pPr>
        <w:numPr>
          <w:ilvl w:val="0"/>
          <w:numId w:val="2"/>
        </w:numPr>
        <w:spacing w:line="560" w:lineRule="exact"/>
        <w:ind w:firstLine="600" w:firstLineChars="200"/>
        <w:jc w:val="left"/>
        <w:rPr>
          <w:rFonts w:ascii="仿宋" w:hAnsi="仿宋" w:eastAsia="仿宋"/>
          <w:sz w:val="30"/>
          <w:szCs w:val="30"/>
        </w:rPr>
      </w:pPr>
      <w:r>
        <w:rPr>
          <w:rFonts w:hint="eastAsia" w:ascii="仿宋" w:hAnsi="仿宋" w:eastAsia="仿宋"/>
          <w:sz w:val="30"/>
          <w:szCs w:val="30"/>
        </w:rPr>
        <w:t>社会保障和就业支出年初预算数为</w:t>
      </w:r>
      <w:r>
        <w:rPr>
          <w:rFonts w:hint="eastAsia" w:ascii="仿宋" w:hAnsi="仿宋" w:eastAsia="仿宋"/>
          <w:sz w:val="30"/>
          <w:szCs w:val="30"/>
          <w:lang w:val="en-US" w:eastAsia="zh-CN"/>
        </w:rPr>
        <w:t>149.55</w:t>
      </w:r>
      <w:r>
        <w:rPr>
          <w:rFonts w:hint="eastAsia" w:ascii="仿宋" w:hAnsi="仿宋" w:eastAsia="仿宋"/>
          <w:sz w:val="30"/>
          <w:szCs w:val="30"/>
        </w:rPr>
        <w:t>万元，决算数为</w:t>
      </w:r>
      <w:r>
        <w:rPr>
          <w:rFonts w:hint="eastAsia" w:ascii="仿宋" w:hAnsi="仿宋" w:eastAsia="仿宋"/>
          <w:sz w:val="30"/>
          <w:szCs w:val="30"/>
          <w:lang w:val="en-US" w:eastAsia="zh-CN"/>
        </w:rPr>
        <w:t>234.13</w:t>
      </w:r>
      <w:r>
        <w:rPr>
          <w:rFonts w:hint="eastAsia" w:ascii="仿宋" w:hAnsi="仿宋" w:eastAsia="仿宋"/>
          <w:sz w:val="30"/>
          <w:szCs w:val="30"/>
        </w:rPr>
        <w:t>万元，完成年初预算的</w:t>
      </w:r>
      <w:r>
        <w:rPr>
          <w:rFonts w:hint="eastAsia" w:ascii="仿宋" w:hAnsi="仿宋" w:eastAsia="仿宋"/>
          <w:sz w:val="30"/>
          <w:szCs w:val="30"/>
          <w:lang w:val="en-US" w:eastAsia="zh-CN"/>
        </w:rPr>
        <w:t>156.55</w:t>
      </w:r>
      <w:r>
        <w:rPr>
          <w:rFonts w:hint="eastAsia" w:ascii="仿宋" w:hAnsi="仿宋" w:eastAsia="仿宋"/>
          <w:sz w:val="30"/>
          <w:szCs w:val="30"/>
        </w:rPr>
        <w:t>%，主要原因是离退休人员死亡抚恤</w:t>
      </w:r>
      <w:r>
        <w:rPr>
          <w:rFonts w:hint="eastAsia" w:ascii="仿宋" w:hAnsi="仿宋" w:eastAsia="仿宋"/>
          <w:sz w:val="30"/>
          <w:szCs w:val="30"/>
          <w:lang w:eastAsia="zh-CN"/>
        </w:rPr>
        <w:t>和机关事业单位职业年金单位缴费</w:t>
      </w:r>
      <w:r>
        <w:rPr>
          <w:rFonts w:hint="eastAsia" w:ascii="仿宋" w:hAnsi="仿宋" w:eastAsia="仿宋"/>
          <w:sz w:val="30"/>
          <w:szCs w:val="30"/>
        </w:rPr>
        <w:t>。</w:t>
      </w:r>
    </w:p>
    <w:p>
      <w:pPr>
        <w:numPr>
          <w:ilvl w:val="0"/>
          <w:numId w:val="2"/>
        </w:numPr>
        <w:spacing w:line="560" w:lineRule="exact"/>
        <w:ind w:firstLine="600" w:firstLineChars="200"/>
        <w:jc w:val="left"/>
        <w:rPr>
          <w:rFonts w:ascii="仿宋" w:hAnsi="仿宋" w:eastAsia="仿宋"/>
          <w:sz w:val="30"/>
          <w:szCs w:val="30"/>
        </w:rPr>
      </w:pPr>
      <w:r>
        <w:rPr>
          <w:rFonts w:hint="eastAsia" w:ascii="仿宋" w:hAnsi="仿宋" w:eastAsia="仿宋"/>
          <w:sz w:val="30"/>
          <w:szCs w:val="30"/>
        </w:rPr>
        <w:t>卫生健康支出年初预算数为</w:t>
      </w:r>
      <w:r>
        <w:rPr>
          <w:rFonts w:hint="eastAsia" w:ascii="仿宋" w:hAnsi="仿宋" w:eastAsia="仿宋"/>
          <w:sz w:val="30"/>
          <w:szCs w:val="30"/>
          <w:lang w:val="en-US" w:eastAsia="zh-CN"/>
        </w:rPr>
        <w:t>123.84</w:t>
      </w:r>
      <w:r>
        <w:rPr>
          <w:rFonts w:hint="eastAsia" w:ascii="仿宋" w:hAnsi="仿宋" w:eastAsia="仿宋"/>
          <w:sz w:val="30"/>
          <w:szCs w:val="30"/>
        </w:rPr>
        <w:t>万元，决算数</w:t>
      </w:r>
      <w:r>
        <w:rPr>
          <w:rFonts w:hint="eastAsia" w:ascii="仿宋" w:hAnsi="仿宋" w:eastAsia="仿宋"/>
          <w:sz w:val="30"/>
          <w:szCs w:val="30"/>
          <w:lang w:val="en-US" w:eastAsia="zh-CN"/>
        </w:rPr>
        <w:t>120.96</w:t>
      </w:r>
      <w:r>
        <w:rPr>
          <w:rFonts w:hint="eastAsia" w:ascii="仿宋" w:hAnsi="仿宋" w:eastAsia="仿宋"/>
          <w:sz w:val="30"/>
          <w:szCs w:val="30"/>
        </w:rPr>
        <w:t>万元，完成年初预算的</w:t>
      </w:r>
      <w:r>
        <w:rPr>
          <w:rFonts w:hint="eastAsia" w:ascii="仿宋" w:hAnsi="仿宋" w:eastAsia="仿宋"/>
          <w:sz w:val="30"/>
          <w:szCs w:val="30"/>
          <w:lang w:val="en-US" w:eastAsia="zh-CN"/>
        </w:rPr>
        <w:t>97.67</w:t>
      </w:r>
      <w:r>
        <w:rPr>
          <w:rFonts w:hint="eastAsia" w:ascii="仿宋" w:hAnsi="仿宋" w:eastAsia="仿宋"/>
          <w:sz w:val="30"/>
          <w:szCs w:val="30"/>
        </w:rPr>
        <w:t>%，主要原因是</w:t>
      </w:r>
      <w:r>
        <w:rPr>
          <w:rFonts w:hint="eastAsia" w:ascii="仿宋" w:hAnsi="仿宋" w:eastAsia="仿宋"/>
          <w:sz w:val="30"/>
          <w:szCs w:val="30"/>
          <w:lang w:eastAsia="zh-CN"/>
        </w:rPr>
        <w:t>人员增减变动</w:t>
      </w:r>
      <w:r>
        <w:rPr>
          <w:rFonts w:hint="eastAsia" w:ascii="仿宋" w:hAnsi="仿宋" w:eastAsia="仿宋"/>
          <w:sz w:val="30"/>
          <w:szCs w:val="30"/>
        </w:rPr>
        <w:t>。</w:t>
      </w:r>
    </w:p>
    <w:p>
      <w:pPr>
        <w:numPr>
          <w:ilvl w:val="0"/>
          <w:numId w:val="2"/>
        </w:numPr>
        <w:spacing w:line="560" w:lineRule="exact"/>
        <w:ind w:firstLine="600" w:firstLineChars="200"/>
        <w:jc w:val="left"/>
        <w:rPr>
          <w:rFonts w:ascii="仿宋" w:hAnsi="仿宋" w:eastAsia="仿宋"/>
          <w:sz w:val="30"/>
          <w:szCs w:val="30"/>
          <w:highlight w:val="none"/>
        </w:rPr>
      </w:pPr>
      <w:r>
        <w:rPr>
          <w:rFonts w:hint="eastAsia" w:ascii="仿宋" w:hAnsi="仿宋" w:eastAsia="仿宋"/>
          <w:sz w:val="30"/>
          <w:szCs w:val="30"/>
        </w:rPr>
        <w:t>住房保障支出年初预算数为</w:t>
      </w:r>
      <w:r>
        <w:rPr>
          <w:rFonts w:hint="eastAsia" w:ascii="仿宋" w:hAnsi="仿宋" w:eastAsia="仿宋"/>
          <w:sz w:val="30"/>
          <w:szCs w:val="30"/>
          <w:lang w:val="en-US" w:eastAsia="zh-CN"/>
        </w:rPr>
        <w:t>57.73</w:t>
      </w:r>
      <w:r>
        <w:rPr>
          <w:rFonts w:hint="eastAsia" w:ascii="仿宋" w:hAnsi="仿宋" w:eastAsia="仿宋"/>
          <w:sz w:val="30"/>
          <w:szCs w:val="30"/>
        </w:rPr>
        <w:t>万元</w:t>
      </w:r>
      <w:r>
        <w:rPr>
          <w:rFonts w:hint="eastAsia" w:ascii="仿宋" w:hAnsi="仿宋" w:eastAsia="仿宋"/>
          <w:sz w:val="30"/>
          <w:szCs w:val="30"/>
          <w:lang w:eastAsia="zh-CN"/>
        </w:rPr>
        <w:t>，</w:t>
      </w:r>
      <w:r>
        <w:rPr>
          <w:rFonts w:hint="eastAsia" w:ascii="仿宋" w:hAnsi="仿宋" w:eastAsia="仿宋"/>
          <w:sz w:val="30"/>
          <w:szCs w:val="30"/>
        </w:rPr>
        <w:t>决算数为</w:t>
      </w:r>
      <w:r>
        <w:rPr>
          <w:rFonts w:hint="eastAsia" w:ascii="仿宋" w:hAnsi="仿宋" w:eastAsia="仿宋"/>
          <w:sz w:val="30"/>
          <w:szCs w:val="30"/>
          <w:lang w:val="en-US" w:eastAsia="zh-CN"/>
        </w:rPr>
        <w:t>59.76</w:t>
      </w:r>
      <w:r>
        <w:rPr>
          <w:rFonts w:hint="eastAsia" w:ascii="仿宋" w:hAnsi="仿宋" w:eastAsia="仿宋"/>
          <w:sz w:val="30"/>
          <w:szCs w:val="30"/>
        </w:rPr>
        <w:t>万元，完</w:t>
      </w:r>
      <w:r>
        <w:rPr>
          <w:rFonts w:hint="eastAsia" w:ascii="仿宋" w:hAnsi="仿宋" w:eastAsia="仿宋"/>
          <w:sz w:val="30"/>
          <w:szCs w:val="30"/>
          <w:highlight w:val="none"/>
        </w:rPr>
        <w:t>成年初预算的</w:t>
      </w:r>
      <w:r>
        <w:rPr>
          <w:rFonts w:hint="eastAsia" w:ascii="仿宋" w:hAnsi="仿宋" w:eastAsia="仿宋"/>
          <w:sz w:val="30"/>
          <w:szCs w:val="30"/>
          <w:highlight w:val="none"/>
          <w:lang w:val="en-US" w:eastAsia="zh-CN"/>
        </w:rPr>
        <w:t>103.52</w:t>
      </w:r>
      <w:r>
        <w:rPr>
          <w:rFonts w:hint="eastAsia" w:ascii="仿宋" w:hAnsi="仿宋" w:eastAsia="仿宋"/>
          <w:sz w:val="30"/>
          <w:szCs w:val="30"/>
          <w:highlight w:val="none"/>
        </w:rPr>
        <w:t>%，主要原因是人员变动和公积金缴费基数调整。</w:t>
      </w:r>
    </w:p>
    <w:p>
      <w:pPr>
        <w:numPr>
          <w:ilvl w:val="0"/>
          <w:numId w:val="2"/>
        </w:numPr>
        <w:spacing w:line="560" w:lineRule="exact"/>
        <w:ind w:firstLine="600" w:firstLineChars="200"/>
        <w:jc w:val="left"/>
        <w:rPr>
          <w:rFonts w:ascii="仿宋" w:hAnsi="仿宋" w:eastAsia="仿宋"/>
          <w:sz w:val="30"/>
          <w:szCs w:val="30"/>
          <w:highlight w:val="none"/>
        </w:rPr>
      </w:pPr>
      <w:r>
        <w:rPr>
          <w:rFonts w:hint="eastAsia" w:ascii="仿宋" w:hAnsi="仿宋" w:eastAsia="仿宋"/>
          <w:sz w:val="30"/>
          <w:szCs w:val="30"/>
          <w:highlight w:val="none"/>
        </w:rPr>
        <w:t>商业服务业等支出年初预算数为</w:t>
      </w:r>
      <w:r>
        <w:rPr>
          <w:rFonts w:hint="eastAsia" w:ascii="仿宋" w:hAnsi="仿宋" w:eastAsia="仿宋"/>
          <w:sz w:val="30"/>
          <w:szCs w:val="30"/>
          <w:highlight w:val="none"/>
          <w:lang w:val="en-US" w:eastAsia="zh-CN"/>
        </w:rPr>
        <w:t>329.86</w:t>
      </w:r>
      <w:r>
        <w:rPr>
          <w:rFonts w:hint="eastAsia" w:ascii="仿宋" w:hAnsi="仿宋" w:eastAsia="仿宋"/>
          <w:sz w:val="30"/>
          <w:szCs w:val="30"/>
          <w:highlight w:val="none"/>
        </w:rPr>
        <w:t xml:space="preserve">万元，决算数为 </w:t>
      </w:r>
      <w:r>
        <w:rPr>
          <w:rFonts w:hint="eastAsia" w:ascii="仿宋" w:hAnsi="仿宋" w:eastAsia="仿宋"/>
          <w:sz w:val="30"/>
          <w:szCs w:val="30"/>
          <w:highlight w:val="none"/>
          <w:lang w:val="en-US" w:eastAsia="zh-CN"/>
        </w:rPr>
        <w:t>1037.94</w:t>
      </w:r>
      <w:r>
        <w:rPr>
          <w:rFonts w:hint="eastAsia" w:ascii="仿宋" w:hAnsi="仿宋" w:eastAsia="仿宋"/>
          <w:sz w:val="30"/>
          <w:szCs w:val="30"/>
          <w:highlight w:val="none"/>
        </w:rPr>
        <w:t>万元，完成年初预算的</w:t>
      </w:r>
      <w:r>
        <w:rPr>
          <w:rFonts w:hint="eastAsia" w:ascii="仿宋" w:hAnsi="仿宋" w:eastAsia="仿宋"/>
          <w:sz w:val="30"/>
          <w:szCs w:val="30"/>
          <w:highlight w:val="none"/>
          <w:lang w:val="en-US" w:eastAsia="zh-CN"/>
        </w:rPr>
        <w:t>314.66</w:t>
      </w:r>
      <w:r>
        <w:rPr>
          <w:rFonts w:hint="eastAsia" w:ascii="仿宋" w:hAnsi="仿宋" w:eastAsia="仿宋"/>
          <w:sz w:val="30"/>
          <w:szCs w:val="30"/>
          <w:highlight w:val="none"/>
        </w:rPr>
        <w:t>%，主要原因是</w:t>
      </w:r>
      <w:r>
        <w:rPr>
          <w:rFonts w:hint="eastAsia" w:ascii="仿宋" w:hAnsi="仿宋" w:eastAsia="仿宋"/>
          <w:sz w:val="30"/>
          <w:szCs w:val="30"/>
          <w:highlight w:val="none"/>
          <w:lang w:eastAsia="zh-CN"/>
        </w:rPr>
        <w:t>包括新增的上下级政府间转移性支出和预算一体化改革本年度支出调整</w:t>
      </w:r>
      <w:r>
        <w:rPr>
          <w:rFonts w:hint="eastAsia" w:ascii="仿宋" w:hAnsi="仿宋" w:eastAsia="仿宋"/>
          <w:sz w:val="30"/>
          <w:szCs w:val="30"/>
          <w:highlight w:val="none"/>
        </w:rPr>
        <w:t>。</w:t>
      </w:r>
    </w:p>
    <w:p>
      <w:pPr>
        <w:numPr>
          <w:ilvl w:val="0"/>
          <w:numId w:val="2"/>
        </w:numPr>
        <w:spacing w:line="560" w:lineRule="exact"/>
        <w:ind w:firstLine="600" w:firstLineChars="200"/>
        <w:jc w:val="left"/>
        <w:rPr>
          <w:rFonts w:ascii="仿宋" w:hAnsi="仿宋" w:eastAsia="仿宋"/>
          <w:color w:val="auto"/>
          <w:sz w:val="30"/>
          <w:szCs w:val="30"/>
        </w:rPr>
      </w:pPr>
      <w:r>
        <w:rPr>
          <w:rFonts w:hint="eastAsia" w:ascii="仿宋" w:hAnsi="仿宋" w:eastAsia="仿宋"/>
          <w:color w:val="auto"/>
          <w:sz w:val="30"/>
          <w:szCs w:val="30"/>
        </w:rPr>
        <w:t>交通运输支出</w:t>
      </w:r>
      <w:r>
        <w:rPr>
          <w:rFonts w:hint="eastAsia" w:ascii="仿宋" w:hAnsi="仿宋" w:eastAsia="仿宋"/>
          <w:color w:val="auto"/>
          <w:sz w:val="30"/>
          <w:szCs w:val="30"/>
          <w:lang w:eastAsia="zh-CN"/>
        </w:rPr>
        <w:t>年初预算数为</w:t>
      </w:r>
      <w:r>
        <w:rPr>
          <w:rFonts w:hint="eastAsia" w:ascii="仿宋" w:hAnsi="仿宋" w:eastAsia="仿宋"/>
          <w:color w:val="auto"/>
          <w:sz w:val="30"/>
          <w:szCs w:val="30"/>
          <w:lang w:val="en-US" w:eastAsia="zh-CN"/>
        </w:rPr>
        <w:t>61</w:t>
      </w:r>
      <w:r>
        <w:rPr>
          <w:rFonts w:hint="eastAsia" w:ascii="仿宋" w:hAnsi="仿宋" w:eastAsia="仿宋"/>
          <w:color w:val="auto"/>
          <w:sz w:val="30"/>
          <w:szCs w:val="30"/>
          <w:lang w:eastAsia="zh-CN"/>
        </w:rPr>
        <w:t>万元，决算数为</w:t>
      </w:r>
      <w:r>
        <w:rPr>
          <w:rFonts w:hint="eastAsia" w:ascii="仿宋" w:hAnsi="仿宋" w:eastAsia="仿宋"/>
          <w:color w:val="auto"/>
          <w:sz w:val="30"/>
          <w:szCs w:val="30"/>
          <w:lang w:val="en-US" w:eastAsia="zh-CN"/>
        </w:rPr>
        <w:t>0</w:t>
      </w:r>
      <w:r>
        <w:rPr>
          <w:rFonts w:hint="eastAsia" w:ascii="仿宋" w:hAnsi="仿宋" w:eastAsia="仿宋"/>
          <w:color w:val="auto"/>
          <w:sz w:val="30"/>
          <w:szCs w:val="30"/>
          <w:lang w:eastAsia="zh-CN"/>
        </w:rPr>
        <w:t>万元，</w:t>
      </w:r>
      <w:r>
        <w:rPr>
          <w:rFonts w:hint="eastAsia" w:ascii="仿宋" w:hAnsi="仿宋" w:eastAsia="仿宋"/>
          <w:color w:val="auto"/>
          <w:sz w:val="30"/>
          <w:szCs w:val="30"/>
        </w:rPr>
        <w:t>完成</w:t>
      </w:r>
      <w:r>
        <w:rPr>
          <w:rFonts w:hint="eastAsia" w:ascii="仿宋" w:hAnsi="仿宋" w:eastAsia="仿宋"/>
          <w:color w:val="auto"/>
          <w:sz w:val="30"/>
          <w:szCs w:val="30"/>
          <w:lang w:val="en-US" w:eastAsia="zh-CN"/>
        </w:rPr>
        <w:t>年初预算的0%，主要是年初预算调整。</w:t>
      </w:r>
    </w:p>
    <w:p>
      <w:pPr>
        <w:numPr>
          <w:ilvl w:val="0"/>
          <w:numId w:val="2"/>
        </w:numPr>
        <w:spacing w:line="560" w:lineRule="exact"/>
        <w:ind w:firstLine="600" w:firstLineChars="200"/>
        <w:jc w:val="left"/>
        <w:rPr>
          <w:rFonts w:hint="default" w:ascii="仿宋" w:hAnsi="仿宋" w:eastAsia="仿宋"/>
          <w:color w:val="auto"/>
          <w:sz w:val="30"/>
          <w:szCs w:val="30"/>
          <w:lang w:val="en-US"/>
        </w:rPr>
      </w:pPr>
      <w:r>
        <w:rPr>
          <w:rFonts w:hint="eastAsia" w:ascii="仿宋" w:hAnsi="仿宋" w:eastAsia="仿宋"/>
          <w:color w:val="auto"/>
          <w:sz w:val="30"/>
          <w:szCs w:val="30"/>
          <w:lang w:eastAsia="zh-CN"/>
        </w:rPr>
        <w:t>其他支出年初预算数</w:t>
      </w:r>
      <w:r>
        <w:rPr>
          <w:rFonts w:hint="eastAsia" w:ascii="仿宋" w:hAnsi="仿宋" w:eastAsia="仿宋"/>
          <w:color w:val="auto"/>
          <w:sz w:val="30"/>
          <w:szCs w:val="30"/>
          <w:lang w:val="en-US" w:eastAsia="zh-CN"/>
        </w:rPr>
        <w:t>0</w:t>
      </w:r>
      <w:r>
        <w:rPr>
          <w:rFonts w:hint="eastAsia" w:ascii="仿宋" w:hAnsi="仿宋" w:eastAsia="仿宋"/>
          <w:color w:val="auto"/>
          <w:sz w:val="30"/>
          <w:szCs w:val="30"/>
          <w:lang w:eastAsia="zh-CN"/>
        </w:rPr>
        <w:t>万元，决算数为</w:t>
      </w:r>
      <w:r>
        <w:rPr>
          <w:rFonts w:hint="eastAsia" w:ascii="仿宋" w:hAnsi="仿宋" w:eastAsia="仿宋"/>
          <w:color w:val="auto"/>
          <w:sz w:val="30"/>
          <w:szCs w:val="30"/>
          <w:lang w:val="en-US" w:eastAsia="zh-CN"/>
        </w:rPr>
        <w:t>10万元，预算调整数10万元，主要是预算调增其他支出。</w:t>
      </w:r>
    </w:p>
    <w:p>
      <w:pPr>
        <w:spacing w:line="560" w:lineRule="exact"/>
        <w:ind w:firstLine="600" w:firstLineChars="200"/>
        <w:jc w:val="left"/>
        <w:rPr>
          <w:rFonts w:ascii="黑体" w:hAnsi="黑体" w:eastAsia="黑体"/>
          <w:sz w:val="30"/>
          <w:szCs w:val="30"/>
          <w:highlight w:val="none"/>
        </w:rPr>
      </w:pPr>
      <w:r>
        <w:rPr>
          <w:rFonts w:hint="eastAsia" w:ascii="黑体" w:hAnsi="黑体" w:eastAsia="黑体"/>
          <w:sz w:val="30"/>
          <w:szCs w:val="30"/>
          <w:highlight w:val="none"/>
        </w:rPr>
        <w:t>四、一般公共预算财政拨款基本支出决算情况说明</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highlight w:val="none"/>
        </w:rPr>
        <w:t>本</w:t>
      </w:r>
      <w:r>
        <w:rPr>
          <w:rFonts w:hint="eastAsia" w:ascii="仿宋" w:hAnsi="仿宋" w:eastAsia="仿宋"/>
          <w:sz w:val="30"/>
          <w:szCs w:val="30"/>
          <w:highlight w:val="none"/>
          <w:lang w:eastAsia="zh-CN"/>
        </w:rPr>
        <w:t>单位</w:t>
      </w:r>
      <w:r>
        <w:rPr>
          <w:rFonts w:hint="default" w:ascii="仿宋" w:hAnsi="仿宋" w:eastAsia="仿宋"/>
          <w:sz w:val="30"/>
          <w:szCs w:val="30"/>
          <w:highlight w:val="none"/>
          <w:lang w:val="en"/>
        </w:rPr>
        <w:t>2021</w:t>
      </w:r>
      <w:r>
        <w:rPr>
          <w:rFonts w:hint="eastAsia" w:ascii="仿宋" w:hAnsi="仿宋" w:eastAsia="仿宋"/>
          <w:sz w:val="30"/>
          <w:szCs w:val="30"/>
          <w:highlight w:val="none"/>
        </w:rPr>
        <w:t>年</w:t>
      </w:r>
      <w:r>
        <w:rPr>
          <w:rFonts w:hint="eastAsia" w:ascii="仿宋" w:hAnsi="仿宋" w:eastAsia="仿宋"/>
          <w:sz w:val="30"/>
          <w:szCs w:val="30"/>
        </w:rPr>
        <w:t>度一般公共预算财政拨款基本支出</w:t>
      </w:r>
      <w:r>
        <w:rPr>
          <w:rFonts w:hint="eastAsia" w:ascii="仿宋" w:hAnsi="仿宋" w:eastAsia="仿宋"/>
          <w:sz w:val="30"/>
          <w:szCs w:val="30"/>
          <w:lang w:val="en-US" w:eastAsia="zh-CN"/>
        </w:rPr>
        <w:t>1522.93</w:t>
      </w:r>
      <w:r>
        <w:rPr>
          <w:rFonts w:hint="eastAsia" w:ascii="仿宋" w:hAnsi="仿宋" w:eastAsia="仿宋"/>
          <w:sz w:val="30"/>
          <w:szCs w:val="30"/>
        </w:rPr>
        <w:t xml:space="preserve"> 万元，其中：</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（一）工资福利支出</w:t>
      </w:r>
      <w:r>
        <w:rPr>
          <w:rFonts w:hint="eastAsia" w:ascii="仿宋" w:hAnsi="仿宋" w:eastAsia="仿宋"/>
          <w:sz w:val="30"/>
          <w:szCs w:val="30"/>
          <w:lang w:val="en-US" w:eastAsia="zh-CN"/>
        </w:rPr>
        <w:t>829.36</w:t>
      </w:r>
      <w:r>
        <w:rPr>
          <w:rFonts w:hint="eastAsia" w:ascii="仿宋" w:hAnsi="仿宋" w:eastAsia="仿宋"/>
          <w:sz w:val="30"/>
          <w:szCs w:val="30"/>
        </w:rPr>
        <w:t>万元，较20</w:t>
      </w:r>
      <w:r>
        <w:rPr>
          <w:rFonts w:hint="eastAsia" w:ascii="仿宋" w:hAnsi="仿宋" w:eastAsia="仿宋"/>
          <w:sz w:val="30"/>
          <w:szCs w:val="30"/>
          <w:lang w:val="en-US" w:eastAsia="zh-CN"/>
        </w:rPr>
        <w:t>20</w:t>
      </w:r>
      <w:r>
        <w:rPr>
          <w:rFonts w:hint="eastAsia" w:ascii="仿宋" w:hAnsi="仿宋" w:eastAsia="仿宋"/>
          <w:sz w:val="30"/>
          <w:szCs w:val="30"/>
        </w:rPr>
        <w:t>年</w:t>
      </w:r>
      <w:r>
        <w:rPr>
          <w:rFonts w:hint="eastAsia" w:ascii="仿宋" w:hAnsi="仿宋" w:eastAsia="仿宋"/>
          <w:sz w:val="30"/>
          <w:szCs w:val="30"/>
          <w:lang w:eastAsia="zh-CN"/>
        </w:rPr>
        <w:t>减少</w:t>
      </w:r>
      <w:r>
        <w:rPr>
          <w:rFonts w:hint="eastAsia" w:ascii="仿宋" w:hAnsi="仿宋" w:eastAsia="仿宋"/>
          <w:sz w:val="30"/>
          <w:szCs w:val="30"/>
          <w:lang w:val="en-US" w:eastAsia="zh-CN"/>
        </w:rPr>
        <w:t>88.11</w:t>
      </w:r>
      <w:r>
        <w:rPr>
          <w:rFonts w:hint="eastAsia" w:ascii="仿宋" w:hAnsi="仿宋" w:eastAsia="仿宋"/>
          <w:sz w:val="30"/>
          <w:szCs w:val="30"/>
        </w:rPr>
        <w:t>万元，</w:t>
      </w:r>
      <w:r>
        <w:rPr>
          <w:rFonts w:hint="eastAsia" w:ascii="仿宋" w:hAnsi="仿宋" w:eastAsia="仿宋"/>
          <w:sz w:val="30"/>
          <w:szCs w:val="30"/>
          <w:lang w:eastAsia="zh-CN"/>
        </w:rPr>
        <w:t>减少</w:t>
      </w:r>
      <w:r>
        <w:rPr>
          <w:rFonts w:hint="eastAsia" w:ascii="仿宋" w:hAnsi="仿宋" w:eastAsia="仿宋"/>
          <w:sz w:val="30"/>
          <w:szCs w:val="30"/>
          <w:lang w:val="en-US" w:eastAsia="zh-CN"/>
        </w:rPr>
        <w:t>9.6</w:t>
      </w:r>
      <w:r>
        <w:rPr>
          <w:rFonts w:hint="eastAsia" w:ascii="仿宋" w:hAnsi="仿宋" w:eastAsia="仿宋"/>
          <w:sz w:val="30"/>
          <w:szCs w:val="30"/>
        </w:rPr>
        <w:t xml:space="preserve"> %，主要原因是：</w:t>
      </w:r>
      <w:r>
        <w:rPr>
          <w:rFonts w:hint="eastAsia" w:ascii="仿宋" w:hAnsi="仿宋" w:eastAsia="仿宋"/>
          <w:sz w:val="30"/>
          <w:szCs w:val="30"/>
          <w:lang w:eastAsia="zh-CN"/>
        </w:rPr>
        <w:t>机构改革划转人员</w:t>
      </w:r>
      <w:r>
        <w:rPr>
          <w:rFonts w:hint="eastAsia" w:ascii="仿宋" w:hAnsi="仿宋" w:eastAsia="仿宋"/>
          <w:sz w:val="30"/>
          <w:szCs w:val="30"/>
        </w:rPr>
        <w:t>。</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（二）商品和服务支出</w:t>
      </w:r>
      <w:r>
        <w:rPr>
          <w:rFonts w:hint="eastAsia" w:ascii="仿宋" w:hAnsi="仿宋" w:eastAsia="仿宋"/>
          <w:sz w:val="30"/>
          <w:szCs w:val="30"/>
          <w:lang w:val="en-US" w:eastAsia="zh-CN"/>
        </w:rPr>
        <w:t>517.08</w:t>
      </w:r>
      <w:r>
        <w:rPr>
          <w:rFonts w:hint="eastAsia" w:ascii="仿宋" w:hAnsi="仿宋" w:eastAsia="仿宋"/>
          <w:sz w:val="30"/>
          <w:szCs w:val="30"/>
        </w:rPr>
        <w:t>万元，较</w:t>
      </w:r>
      <w:r>
        <w:rPr>
          <w:rFonts w:hint="eastAsia" w:ascii="仿宋" w:hAnsi="仿宋" w:eastAsia="仿宋"/>
          <w:sz w:val="30"/>
          <w:szCs w:val="30"/>
          <w:lang w:val="en-US" w:eastAsia="zh-CN"/>
        </w:rPr>
        <w:t>2020</w:t>
      </w:r>
      <w:r>
        <w:rPr>
          <w:rFonts w:hint="eastAsia" w:ascii="仿宋" w:hAnsi="仿宋" w:eastAsia="仿宋"/>
          <w:sz w:val="30"/>
          <w:szCs w:val="30"/>
        </w:rPr>
        <w:t>年</w:t>
      </w:r>
      <w:r>
        <w:rPr>
          <w:rFonts w:hint="eastAsia" w:ascii="仿宋" w:hAnsi="仿宋" w:eastAsia="仿宋"/>
          <w:sz w:val="30"/>
          <w:szCs w:val="30"/>
          <w:lang w:eastAsia="zh-CN"/>
        </w:rPr>
        <w:t>增加</w:t>
      </w:r>
      <w:r>
        <w:rPr>
          <w:rFonts w:hint="eastAsia" w:ascii="仿宋" w:hAnsi="仿宋" w:eastAsia="仿宋"/>
          <w:sz w:val="30"/>
          <w:szCs w:val="30"/>
          <w:lang w:val="en-US" w:eastAsia="zh-CN"/>
        </w:rPr>
        <w:t>344.78</w:t>
      </w:r>
      <w:r>
        <w:rPr>
          <w:rFonts w:hint="eastAsia" w:ascii="仿宋" w:hAnsi="仿宋" w:eastAsia="仿宋"/>
          <w:sz w:val="30"/>
          <w:szCs w:val="30"/>
        </w:rPr>
        <w:t>万元，</w:t>
      </w:r>
      <w:r>
        <w:rPr>
          <w:rFonts w:hint="eastAsia" w:ascii="仿宋" w:hAnsi="仿宋" w:eastAsia="仿宋"/>
          <w:sz w:val="30"/>
          <w:szCs w:val="30"/>
          <w:lang w:eastAsia="zh-CN"/>
        </w:rPr>
        <w:t>增加</w:t>
      </w:r>
      <w:r>
        <w:rPr>
          <w:rFonts w:hint="eastAsia" w:ascii="仿宋" w:hAnsi="仿宋" w:eastAsia="仿宋"/>
          <w:sz w:val="30"/>
          <w:szCs w:val="30"/>
          <w:lang w:val="en-US" w:eastAsia="zh-CN"/>
        </w:rPr>
        <w:t>200.1</w:t>
      </w:r>
      <w:r>
        <w:rPr>
          <w:rFonts w:hint="eastAsia" w:ascii="仿宋" w:hAnsi="仿宋" w:eastAsia="仿宋"/>
          <w:sz w:val="30"/>
          <w:szCs w:val="30"/>
        </w:rPr>
        <w:t xml:space="preserve"> %，主要原因是：</w:t>
      </w:r>
      <w:r>
        <w:rPr>
          <w:rFonts w:hint="eastAsia" w:ascii="仿宋" w:hAnsi="仿宋" w:eastAsia="仿宋"/>
          <w:sz w:val="30"/>
          <w:szCs w:val="30"/>
          <w:lang w:eastAsia="zh-CN"/>
        </w:rPr>
        <w:t>增加第三届赣商大会会务服务支出</w:t>
      </w:r>
      <w:r>
        <w:rPr>
          <w:rFonts w:hint="eastAsia" w:ascii="仿宋" w:hAnsi="仿宋" w:eastAsia="仿宋"/>
          <w:sz w:val="30"/>
          <w:szCs w:val="30"/>
        </w:rPr>
        <w:t>。</w:t>
      </w:r>
    </w:p>
    <w:p>
      <w:pPr>
        <w:spacing w:line="560" w:lineRule="exact"/>
        <w:ind w:firstLine="600" w:firstLineChars="200"/>
        <w:jc w:val="left"/>
        <w:rPr>
          <w:rFonts w:hint="eastAsia" w:ascii="仿宋" w:hAnsi="仿宋" w:eastAsia="仿宋"/>
          <w:sz w:val="30"/>
          <w:szCs w:val="30"/>
        </w:rPr>
      </w:pPr>
      <w:r>
        <w:rPr>
          <w:rFonts w:hint="eastAsia" w:ascii="仿宋" w:hAnsi="仿宋" w:eastAsia="仿宋"/>
          <w:sz w:val="30"/>
          <w:szCs w:val="30"/>
        </w:rPr>
        <w:t>（三）对个人和家庭补助支出</w:t>
      </w:r>
      <w:r>
        <w:rPr>
          <w:rFonts w:hint="eastAsia" w:ascii="仿宋" w:hAnsi="仿宋" w:eastAsia="仿宋"/>
          <w:sz w:val="30"/>
          <w:szCs w:val="30"/>
          <w:lang w:val="en-US" w:eastAsia="zh-CN"/>
        </w:rPr>
        <w:t>175.93</w:t>
      </w:r>
      <w:r>
        <w:rPr>
          <w:rFonts w:hint="eastAsia" w:ascii="仿宋" w:hAnsi="仿宋" w:eastAsia="仿宋"/>
          <w:sz w:val="30"/>
          <w:szCs w:val="30"/>
        </w:rPr>
        <w:t>万元，较20</w:t>
      </w:r>
      <w:r>
        <w:rPr>
          <w:rFonts w:hint="eastAsia" w:ascii="仿宋" w:hAnsi="仿宋" w:eastAsia="仿宋"/>
          <w:sz w:val="30"/>
          <w:szCs w:val="30"/>
          <w:lang w:val="en-US" w:eastAsia="zh-CN"/>
        </w:rPr>
        <w:t>20</w:t>
      </w:r>
      <w:r>
        <w:rPr>
          <w:rFonts w:hint="eastAsia" w:ascii="仿宋" w:hAnsi="仿宋" w:eastAsia="仿宋"/>
          <w:sz w:val="30"/>
          <w:szCs w:val="30"/>
        </w:rPr>
        <w:t>年</w:t>
      </w:r>
      <w:r>
        <w:rPr>
          <w:rFonts w:hint="eastAsia" w:ascii="仿宋" w:hAnsi="仿宋" w:eastAsia="仿宋"/>
          <w:sz w:val="30"/>
          <w:szCs w:val="30"/>
          <w:lang w:eastAsia="zh-CN"/>
        </w:rPr>
        <w:t>减少</w:t>
      </w:r>
      <w:r>
        <w:rPr>
          <w:rFonts w:hint="eastAsia" w:ascii="仿宋" w:hAnsi="仿宋" w:eastAsia="仿宋"/>
          <w:sz w:val="30"/>
          <w:szCs w:val="30"/>
          <w:lang w:val="en-US" w:eastAsia="zh-CN"/>
        </w:rPr>
        <w:t>68</w:t>
      </w:r>
      <w:r>
        <w:rPr>
          <w:rFonts w:hint="eastAsia" w:ascii="仿宋" w:hAnsi="仿宋" w:eastAsia="仿宋"/>
          <w:sz w:val="30"/>
          <w:szCs w:val="30"/>
        </w:rPr>
        <w:t>万元，</w:t>
      </w:r>
      <w:r>
        <w:rPr>
          <w:rFonts w:hint="eastAsia" w:ascii="仿宋" w:hAnsi="仿宋" w:eastAsia="仿宋"/>
          <w:sz w:val="30"/>
          <w:szCs w:val="30"/>
          <w:lang w:eastAsia="zh-CN"/>
        </w:rPr>
        <w:t>减少</w:t>
      </w:r>
      <w:r>
        <w:rPr>
          <w:rFonts w:hint="eastAsia" w:ascii="仿宋" w:hAnsi="仿宋" w:eastAsia="仿宋"/>
          <w:sz w:val="30"/>
          <w:szCs w:val="30"/>
          <w:lang w:val="en-US" w:eastAsia="zh-CN"/>
        </w:rPr>
        <w:t>27.87</w:t>
      </w:r>
      <w:r>
        <w:rPr>
          <w:rFonts w:hint="eastAsia" w:ascii="仿宋" w:hAnsi="仿宋" w:eastAsia="仿宋"/>
          <w:sz w:val="30"/>
          <w:szCs w:val="30"/>
        </w:rPr>
        <w:t>%，主要原因是：离退休人员自然减员</w:t>
      </w:r>
      <w:r>
        <w:rPr>
          <w:rFonts w:hint="eastAsia" w:ascii="仿宋" w:hAnsi="仿宋" w:eastAsia="仿宋"/>
          <w:sz w:val="30"/>
          <w:szCs w:val="30"/>
          <w:lang w:eastAsia="zh-CN"/>
        </w:rPr>
        <w:t>及</w:t>
      </w:r>
      <w:r>
        <w:rPr>
          <w:rFonts w:hint="eastAsia" w:ascii="仿宋" w:hAnsi="仿宋" w:eastAsia="仿宋"/>
          <w:sz w:val="30"/>
          <w:szCs w:val="30"/>
        </w:rPr>
        <w:t>发放抚恤金。</w:t>
      </w:r>
    </w:p>
    <w:p>
      <w:pPr>
        <w:spacing w:line="560" w:lineRule="exact"/>
        <w:ind w:firstLine="600" w:firstLineChars="200"/>
        <w:jc w:val="left"/>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eastAsia="zh-CN"/>
        </w:rPr>
        <w:t>四</w:t>
      </w:r>
      <w:r>
        <w:rPr>
          <w:rFonts w:hint="eastAsia" w:ascii="仿宋" w:hAnsi="仿宋" w:eastAsia="仿宋"/>
          <w:sz w:val="30"/>
          <w:szCs w:val="30"/>
        </w:rPr>
        <w:t>）资本性支出</w:t>
      </w:r>
      <w:r>
        <w:rPr>
          <w:rFonts w:hint="eastAsia" w:ascii="仿宋" w:hAnsi="仿宋" w:eastAsia="仿宋"/>
          <w:sz w:val="30"/>
          <w:szCs w:val="30"/>
          <w:lang w:val="en-US" w:eastAsia="zh-CN"/>
        </w:rPr>
        <w:t>0.56</w:t>
      </w:r>
      <w:r>
        <w:rPr>
          <w:rFonts w:hint="eastAsia" w:ascii="仿宋" w:hAnsi="仿宋" w:eastAsia="仿宋"/>
          <w:sz w:val="30"/>
          <w:szCs w:val="30"/>
        </w:rPr>
        <w:t>万元，较20</w:t>
      </w:r>
      <w:r>
        <w:rPr>
          <w:rFonts w:hint="eastAsia" w:ascii="仿宋" w:hAnsi="仿宋" w:eastAsia="仿宋"/>
          <w:sz w:val="30"/>
          <w:szCs w:val="30"/>
          <w:lang w:val="en-US" w:eastAsia="zh-CN"/>
        </w:rPr>
        <w:t>20</w:t>
      </w:r>
      <w:r>
        <w:rPr>
          <w:rFonts w:hint="eastAsia" w:ascii="仿宋" w:hAnsi="仿宋" w:eastAsia="仿宋"/>
          <w:sz w:val="30"/>
          <w:szCs w:val="30"/>
        </w:rPr>
        <w:t>年</w:t>
      </w:r>
      <w:r>
        <w:rPr>
          <w:rFonts w:hint="eastAsia" w:ascii="仿宋" w:hAnsi="仿宋" w:eastAsia="仿宋"/>
          <w:sz w:val="30"/>
          <w:szCs w:val="30"/>
          <w:lang w:eastAsia="zh-CN"/>
        </w:rPr>
        <w:t>减少</w:t>
      </w:r>
      <w:r>
        <w:rPr>
          <w:rFonts w:hint="eastAsia" w:ascii="仿宋" w:hAnsi="仿宋" w:eastAsia="仿宋"/>
          <w:sz w:val="30"/>
          <w:szCs w:val="30"/>
          <w:lang w:val="en-US" w:eastAsia="zh-CN"/>
        </w:rPr>
        <w:t>1.96</w:t>
      </w:r>
      <w:r>
        <w:rPr>
          <w:rFonts w:hint="eastAsia" w:ascii="仿宋" w:hAnsi="仿宋" w:eastAsia="仿宋"/>
          <w:sz w:val="30"/>
          <w:szCs w:val="30"/>
        </w:rPr>
        <w:t>万元，</w:t>
      </w:r>
      <w:r>
        <w:rPr>
          <w:rFonts w:hint="eastAsia" w:ascii="仿宋" w:hAnsi="仿宋" w:eastAsia="仿宋"/>
          <w:sz w:val="30"/>
          <w:szCs w:val="30"/>
          <w:lang w:eastAsia="zh-CN"/>
        </w:rPr>
        <w:t>减少</w:t>
      </w:r>
      <w:r>
        <w:rPr>
          <w:rFonts w:hint="eastAsia" w:ascii="仿宋" w:hAnsi="仿宋" w:eastAsia="仿宋"/>
          <w:sz w:val="30"/>
          <w:szCs w:val="30"/>
          <w:lang w:val="en-US" w:eastAsia="zh-CN"/>
        </w:rPr>
        <w:t>77.9</w:t>
      </w:r>
      <w:r>
        <w:rPr>
          <w:rFonts w:hint="eastAsia" w:ascii="仿宋" w:hAnsi="仿宋" w:eastAsia="仿宋"/>
          <w:sz w:val="30"/>
          <w:szCs w:val="30"/>
        </w:rPr>
        <w:t>%，主要原因是：</w:t>
      </w:r>
      <w:r>
        <w:rPr>
          <w:rFonts w:hint="eastAsia" w:ascii="仿宋" w:hAnsi="仿宋" w:eastAsia="仿宋"/>
          <w:sz w:val="30"/>
          <w:szCs w:val="30"/>
          <w:lang w:eastAsia="zh-CN"/>
        </w:rPr>
        <w:t>减少采购办公设备</w:t>
      </w:r>
      <w:r>
        <w:rPr>
          <w:rFonts w:hint="eastAsia" w:ascii="仿宋" w:hAnsi="仿宋" w:eastAsia="仿宋"/>
          <w:sz w:val="30"/>
          <w:szCs w:val="30"/>
        </w:rPr>
        <w:t>。</w:t>
      </w:r>
    </w:p>
    <w:p>
      <w:pPr>
        <w:spacing w:line="560" w:lineRule="exact"/>
        <w:ind w:firstLine="600" w:firstLineChars="200"/>
        <w:jc w:val="left"/>
        <w:rPr>
          <w:rFonts w:ascii="黑体" w:hAnsi="黑体" w:eastAsia="黑体"/>
          <w:sz w:val="30"/>
          <w:szCs w:val="30"/>
          <w:highlight w:val="none"/>
        </w:rPr>
      </w:pPr>
      <w:r>
        <w:rPr>
          <w:rFonts w:hint="eastAsia" w:ascii="黑体" w:hAnsi="黑体" w:eastAsia="黑体"/>
          <w:sz w:val="30"/>
          <w:szCs w:val="30"/>
          <w:highlight w:val="none"/>
        </w:rPr>
        <w:t>五、“三公”经费支出决算情况说明</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highlight w:val="none"/>
        </w:rPr>
        <w:t>本</w:t>
      </w:r>
      <w:r>
        <w:rPr>
          <w:rFonts w:hint="eastAsia" w:ascii="仿宋" w:hAnsi="仿宋" w:eastAsia="仿宋"/>
          <w:sz w:val="30"/>
          <w:szCs w:val="30"/>
          <w:highlight w:val="none"/>
          <w:lang w:eastAsia="zh-CN"/>
        </w:rPr>
        <w:t>单位</w:t>
      </w:r>
      <w:r>
        <w:rPr>
          <w:rFonts w:hint="default" w:ascii="仿宋" w:hAnsi="仿宋" w:eastAsia="仿宋"/>
          <w:sz w:val="30"/>
          <w:szCs w:val="30"/>
          <w:highlight w:val="none"/>
          <w:lang w:val="en"/>
        </w:rPr>
        <w:t>2021</w:t>
      </w:r>
      <w:r>
        <w:rPr>
          <w:rFonts w:hint="eastAsia" w:ascii="仿宋" w:hAnsi="仿宋" w:eastAsia="仿宋"/>
          <w:sz w:val="30"/>
          <w:szCs w:val="30"/>
        </w:rPr>
        <w:t>年度“三公”经费支出年初预算数为8</w:t>
      </w:r>
      <w:r>
        <w:rPr>
          <w:rFonts w:hint="eastAsia" w:ascii="仿宋" w:hAnsi="仿宋" w:eastAsia="仿宋"/>
          <w:sz w:val="30"/>
          <w:szCs w:val="30"/>
          <w:lang w:val="en-US" w:eastAsia="zh-CN"/>
        </w:rPr>
        <w:t>3</w:t>
      </w:r>
      <w:r>
        <w:rPr>
          <w:rFonts w:hint="eastAsia" w:ascii="仿宋" w:hAnsi="仿宋" w:eastAsia="仿宋"/>
          <w:sz w:val="30"/>
          <w:szCs w:val="30"/>
        </w:rPr>
        <w:t>万元，决算数为</w:t>
      </w:r>
      <w:r>
        <w:rPr>
          <w:rFonts w:hint="eastAsia" w:ascii="仿宋" w:hAnsi="仿宋" w:eastAsia="仿宋"/>
          <w:sz w:val="30"/>
          <w:szCs w:val="30"/>
          <w:lang w:val="en-US" w:eastAsia="zh-CN"/>
        </w:rPr>
        <w:t>47.47</w:t>
      </w:r>
      <w:r>
        <w:rPr>
          <w:rFonts w:hint="eastAsia" w:ascii="仿宋" w:hAnsi="仿宋" w:eastAsia="仿宋"/>
          <w:sz w:val="30"/>
          <w:szCs w:val="30"/>
        </w:rPr>
        <w:t>万元，完成预算的</w:t>
      </w:r>
      <w:r>
        <w:rPr>
          <w:rFonts w:hint="eastAsia" w:ascii="仿宋" w:hAnsi="仿宋" w:eastAsia="仿宋"/>
          <w:sz w:val="30"/>
          <w:szCs w:val="30"/>
          <w:lang w:val="en-US" w:eastAsia="zh-CN"/>
        </w:rPr>
        <w:t>57.19</w:t>
      </w:r>
      <w:r>
        <w:rPr>
          <w:rFonts w:hint="eastAsia" w:ascii="仿宋" w:hAnsi="仿宋" w:eastAsia="仿宋"/>
          <w:sz w:val="30"/>
          <w:szCs w:val="30"/>
        </w:rPr>
        <w:t>%，决算数较</w:t>
      </w:r>
      <w:r>
        <w:rPr>
          <w:rFonts w:hint="eastAsia" w:ascii="仿宋" w:hAnsi="仿宋" w:eastAsia="仿宋"/>
          <w:sz w:val="30"/>
          <w:szCs w:val="30"/>
          <w:lang w:val="en-US" w:eastAsia="zh-CN"/>
        </w:rPr>
        <w:t>2020</w:t>
      </w:r>
      <w:r>
        <w:rPr>
          <w:rFonts w:hint="eastAsia" w:ascii="仿宋" w:hAnsi="仿宋" w:eastAsia="仿宋"/>
          <w:sz w:val="30"/>
          <w:szCs w:val="30"/>
        </w:rPr>
        <w:t>年</w:t>
      </w:r>
      <w:r>
        <w:rPr>
          <w:rFonts w:hint="eastAsia" w:ascii="仿宋" w:hAnsi="仿宋" w:eastAsia="仿宋"/>
          <w:sz w:val="30"/>
          <w:szCs w:val="30"/>
          <w:lang w:eastAsia="zh-CN"/>
        </w:rPr>
        <w:t>增加</w:t>
      </w:r>
      <w:r>
        <w:rPr>
          <w:rFonts w:hint="eastAsia" w:ascii="仿宋" w:hAnsi="仿宋" w:eastAsia="仿宋"/>
          <w:sz w:val="30"/>
          <w:szCs w:val="30"/>
          <w:lang w:val="en-US" w:eastAsia="zh-CN"/>
        </w:rPr>
        <w:t>30.49</w:t>
      </w:r>
      <w:r>
        <w:rPr>
          <w:rFonts w:hint="eastAsia" w:ascii="仿宋" w:hAnsi="仿宋" w:eastAsia="仿宋"/>
          <w:sz w:val="30"/>
          <w:szCs w:val="30"/>
        </w:rPr>
        <w:t>万元，</w:t>
      </w:r>
      <w:r>
        <w:rPr>
          <w:rFonts w:hint="eastAsia" w:ascii="仿宋" w:hAnsi="仿宋" w:eastAsia="仿宋"/>
          <w:sz w:val="30"/>
          <w:szCs w:val="30"/>
          <w:lang w:eastAsia="zh-CN"/>
        </w:rPr>
        <w:t>增加</w:t>
      </w:r>
      <w:r>
        <w:rPr>
          <w:rFonts w:hint="eastAsia" w:ascii="仿宋" w:hAnsi="仿宋" w:eastAsia="仿宋"/>
          <w:sz w:val="30"/>
          <w:szCs w:val="30"/>
          <w:lang w:val="en-US" w:eastAsia="zh-CN"/>
        </w:rPr>
        <w:t>179.56</w:t>
      </w:r>
      <w:r>
        <w:rPr>
          <w:rFonts w:hint="eastAsia" w:ascii="仿宋" w:hAnsi="仿宋" w:eastAsia="仿宋"/>
          <w:sz w:val="30"/>
          <w:szCs w:val="30"/>
        </w:rPr>
        <w:t>%，其中：</w:t>
      </w:r>
    </w:p>
    <w:p>
      <w:pPr>
        <w:ind w:firstLine="630"/>
        <w:jc w:val="left"/>
        <w:rPr>
          <w:rFonts w:hint="eastAsia" w:ascii="仿宋" w:hAnsi="仿宋" w:eastAsia="仿宋"/>
          <w:sz w:val="30"/>
          <w:szCs w:val="30"/>
        </w:rPr>
      </w:pPr>
      <w:r>
        <w:rPr>
          <w:rFonts w:hint="eastAsia" w:ascii="仿宋" w:hAnsi="仿宋" w:eastAsia="仿宋"/>
          <w:sz w:val="30"/>
          <w:szCs w:val="30"/>
        </w:rPr>
        <w:t>（一）因公出国（境）支出年初预算数为</w:t>
      </w:r>
      <w:r>
        <w:rPr>
          <w:rFonts w:hint="eastAsia" w:ascii="仿宋" w:hAnsi="仿宋" w:eastAsia="仿宋"/>
          <w:sz w:val="30"/>
          <w:szCs w:val="30"/>
          <w:lang w:val="en-US" w:eastAsia="zh-CN"/>
        </w:rPr>
        <w:t>13</w:t>
      </w:r>
      <w:r>
        <w:rPr>
          <w:rFonts w:hint="eastAsia" w:ascii="仿宋" w:hAnsi="仿宋" w:eastAsia="仿宋"/>
          <w:sz w:val="30"/>
          <w:szCs w:val="30"/>
        </w:rPr>
        <w:t>万元，决算数为</w:t>
      </w:r>
      <w:r>
        <w:rPr>
          <w:rFonts w:hint="eastAsia" w:ascii="仿宋" w:hAnsi="仿宋" w:eastAsia="仿宋"/>
          <w:sz w:val="30"/>
          <w:szCs w:val="30"/>
          <w:lang w:val="en-US" w:eastAsia="zh-CN"/>
        </w:rPr>
        <w:t>0</w:t>
      </w:r>
      <w:r>
        <w:rPr>
          <w:rFonts w:hint="eastAsia" w:ascii="仿宋" w:hAnsi="仿宋" w:eastAsia="仿宋"/>
          <w:sz w:val="30"/>
          <w:szCs w:val="30"/>
        </w:rPr>
        <w:t>万元，完成预算的</w:t>
      </w:r>
      <w:r>
        <w:rPr>
          <w:rFonts w:hint="eastAsia" w:ascii="仿宋" w:hAnsi="仿宋" w:eastAsia="仿宋"/>
          <w:sz w:val="30"/>
          <w:szCs w:val="30"/>
          <w:lang w:val="en-US" w:eastAsia="zh-CN"/>
        </w:rPr>
        <w:t>0</w:t>
      </w:r>
      <w:r>
        <w:rPr>
          <w:rFonts w:hint="eastAsia" w:ascii="仿宋" w:hAnsi="仿宋" w:eastAsia="仿宋"/>
          <w:sz w:val="30"/>
          <w:szCs w:val="30"/>
        </w:rPr>
        <w:t>%，决算数较20</w:t>
      </w:r>
      <w:r>
        <w:rPr>
          <w:rFonts w:hint="eastAsia" w:ascii="仿宋" w:hAnsi="仿宋" w:eastAsia="仿宋"/>
          <w:sz w:val="30"/>
          <w:szCs w:val="30"/>
          <w:lang w:val="en-US" w:eastAsia="zh-CN"/>
        </w:rPr>
        <w:t>20</w:t>
      </w:r>
      <w:r>
        <w:rPr>
          <w:rFonts w:hint="eastAsia" w:ascii="仿宋" w:hAnsi="仿宋" w:eastAsia="仿宋"/>
          <w:sz w:val="30"/>
          <w:szCs w:val="30"/>
        </w:rPr>
        <w:t>年减少</w:t>
      </w:r>
      <w:r>
        <w:rPr>
          <w:rFonts w:hint="eastAsia" w:ascii="仿宋" w:hAnsi="仿宋" w:eastAsia="仿宋"/>
          <w:sz w:val="30"/>
          <w:szCs w:val="30"/>
          <w:lang w:val="en-US" w:eastAsia="zh-CN"/>
        </w:rPr>
        <w:t>0</w:t>
      </w:r>
      <w:r>
        <w:rPr>
          <w:rFonts w:hint="eastAsia" w:ascii="仿宋" w:hAnsi="仿宋" w:eastAsia="仿宋"/>
          <w:sz w:val="30"/>
          <w:szCs w:val="30"/>
        </w:rPr>
        <w:t>万元，下降</w:t>
      </w:r>
      <w:r>
        <w:rPr>
          <w:rFonts w:hint="eastAsia" w:ascii="仿宋" w:hAnsi="仿宋" w:eastAsia="仿宋"/>
          <w:sz w:val="30"/>
          <w:szCs w:val="30"/>
          <w:lang w:val="en-US" w:eastAsia="zh-CN"/>
        </w:rPr>
        <w:t>0</w:t>
      </w:r>
      <w:r>
        <w:rPr>
          <w:rFonts w:hint="eastAsia" w:ascii="仿宋" w:hAnsi="仿宋" w:eastAsia="仿宋"/>
          <w:sz w:val="30"/>
          <w:szCs w:val="30"/>
        </w:rPr>
        <w:t>%</w:t>
      </w:r>
      <w:r>
        <w:rPr>
          <w:rFonts w:hint="eastAsia" w:ascii="仿宋" w:hAnsi="仿宋" w:eastAsia="仿宋"/>
          <w:sz w:val="30"/>
          <w:szCs w:val="30"/>
          <w:lang w:eastAsia="zh-CN"/>
        </w:rPr>
        <w:t>，</w:t>
      </w:r>
      <w:r>
        <w:rPr>
          <w:rFonts w:hint="eastAsia" w:ascii="仿宋" w:hAnsi="仿宋" w:eastAsia="仿宋"/>
          <w:sz w:val="30"/>
          <w:szCs w:val="30"/>
        </w:rPr>
        <w:t>主要原因是：</w:t>
      </w:r>
      <w:r>
        <w:rPr>
          <w:rFonts w:hint="eastAsia" w:ascii="仿宋" w:hAnsi="仿宋" w:eastAsia="仿宋"/>
          <w:sz w:val="30"/>
          <w:szCs w:val="30"/>
          <w:lang w:eastAsia="zh-CN"/>
        </w:rPr>
        <w:t>受疫情影响，没有</w:t>
      </w:r>
      <w:r>
        <w:rPr>
          <w:rFonts w:hint="eastAsia" w:ascii="仿宋" w:hAnsi="仿宋" w:eastAsia="仿宋"/>
          <w:sz w:val="30"/>
          <w:szCs w:val="30"/>
        </w:rPr>
        <w:t>因公出国（境）</w:t>
      </w:r>
      <w:r>
        <w:rPr>
          <w:rFonts w:hint="eastAsia" w:ascii="仿宋" w:hAnsi="仿宋" w:eastAsia="仿宋"/>
          <w:sz w:val="30"/>
          <w:szCs w:val="30"/>
          <w:lang w:eastAsia="zh-CN"/>
        </w:rPr>
        <w:t>开支</w:t>
      </w:r>
      <w:r>
        <w:rPr>
          <w:rFonts w:hint="eastAsia" w:ascii="仿宋" w:hAnsi="仿宋" w:eastAsia="仿宋"/>
          <w:sz w:val="30"/>
          <w:szCs w:val="30"/>
        </w:rPr>
        <w:t>。</w:t>
      </w:r>
      <w:r>
        <w:rPr>
          <w:rFonts w:hint="eastAsia" w:ascii="仿宋" w:hAnsi="仿宋" w:eastAsia="仿宋"/>
          <w:sz w:val="30"/>
          <w:szCs w:val="30"/>
          <w:lang w:eastAsia="zh-CN"/>
        </w:rPr>
        <w:t>决算数较年初预算数减少的主要原因是</w:t>
      </w:r>
      <w:r>
        <w:rPr>
          <w:rFonts w:hint="eastAsia" w:ascii="仿宋" w:hAnsi="仿宋" w:eastAsia="仿宋"/>
          <w:sz w:val="30"/>
          <w:szCs w:val="30"/>
        </w:rPr>
        <w:t>：</w:t>
      </w:r>
      <w:r>
        <w:rPr>
          <w:rFonts w:hint="eastAsia" w:ascii="仿宋" w:hAnsi="仿宋" w:eastAsia="仿宋"/>
          <w:sz w:val="30"/>
          <w:szCs w:val="30"/>
          <w:lang w:eastAsia="zh-CN"/>
        </w:rPr>
        <w:t>受疫情影响，没有</w:t>
      </w:r>
      <w:r>
        <w:rPr>
          <w:rFonts w:hint="eastAsia" w:ascii="仿宋" w:hAnsi="仿宋" w:eastAsia="仿宋"/>
          <w:sz w:val="30"/>
          <w:szCs w:val="30"/>
        </w:rPr>
        <w:t>因公出国（境）</w:t>
      </w:r>
      <w:r>
        <w:rPr>
          <w:rFonts w:hint="eastAsia" w:ascii="仿宋" w:hAnsi="仿宋" w:eastAsia="仿宋"/>
          <w:sz w:val="30"/>
          <w:szCs w:val="30"/>
          <w:lang w:eastAsia="zh-CN"/>
        </w:rPr>
        <w:t>开支</w:t>
      </w:r>
      <w:r>
        <w:rPr>
          <w:rFonts w:hint="eastAsia" w:ascii="仿宋" w:hAnsi="仿宋" w:eastAsia="仿宋"/>
          <w:sz w:val="30"/>
          <w:szCs w:val="30"/>
        </w:rPr>
        <w:t>。</w:t>
      </w:r>
      <w:r>
        <w:rPr>
          <w:rFonts w:hint="eastAsia" w:ascii="仿宋" w:hAnsi="仿宋" w:eastAsia="仿宋"/>
          <w:sz w:val="30"/>
          <w:szCs w:val="30"/>
          <w:lang w:val="en-US" w:eastAsia="zh-CN"/>
        </w:rPr>
        <w:t>全年安排因公出国（境）团组0个，累计0人次，主要为：</w:t>
      </w:r>
      <w:r>
        <w:rPr>
          <w:rFonts w:hint="eastAsia" w:ascii="仿宋" w:hAnsi="仿宋" w:eastAsia="仿宋"/>
          <w:sz w:val="30"/>
          <w:szCs w:val="30"/>
          <w:lang w:eastAsia="zh-CN"/>
        </w:rPr>
        <w:t>受疫情影响，没有</w:t>
      </w:r>
      <w:r>
        <w:rPr>
          <w:rFonts w:hint="eastAsia" w:ascii="仿宋" w:hAnsi="仿宋" w:eastAsia="仿宋"/>
          <w:sz w:val="30"/>
          <w:szCs w:val="30"/>
        </w:rPr>
        <w:t>因公出国（境）</w:t>
      </w:r>
      <w:r>
        <w:rPr>
          <w:rFonts w:hint="eastAsia" w:ascii="仿宋" w:hAnsi="仿宋" w:eastAsia="仿宋"/>
          <w:sz w:val="30"/>
          <w:szCs w:val="30"/>
          <w:lang w:eastAsia="zh-CN"/>
        </w:rPr>
        <w:t>开支</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（二）公务接待费支出年初预算数为</w:t>
      </w:r>
      <w:r>
        <w:rPr>
          <w:rFonts w:hint="eastAsia" w:ascii="仿宋" w:hAnsi="仿宋" w:eastAsia="仿宋"/>
          <w:sz w:val="30"/>
          <w:szCs w:val="30"/>
          <w:lang w:val="en-US" w:eastAsia="zh-CN"/>
        </w:rPr>
        <w:t>70</w:t>
      </w:r>
      <w:r>
        <w:rPr>
          <w:rFonts w:hint="eastAsia" w:ascii="仿宋" w:hAnsi="仿宋" w:eastAsia="仿宋"/>
          <w:sz w:val="30"/>
          <w:szCs w:val="30"/>
        </w:rPr>
        <w:t>万元，决算数为</w:t>
      </w:r>
      <w:r>
        <w:rPr>
          <w:rFonts w:hint="eastAsia" w:ascii="仿宋" w:hAnsi="仿宋" w:eastAsia="仿宋"/>
          <w:sz w:val="30"/>
          <w:szCs w:val="30"/>
          <w:lang w:val="en-US" w:eastAsia="zh-CN"/>
        </w:rPr>
        <w:t>47.47</w:t>
      </w:r>
      <w:r>
        <w:rPr>
          <w:rFonts w:hint="eastAsia" w:ascii="仿宋" w:hAnsi="仿宋" w:eastAsia="仿宋"/>
          <w:sz w:val="30"/>
          <w:szCs w:val="30"/>
        </w:rPr>
        <w:t>万元，完成预算</w:t>
      </w:r>
      <w:r>
        <w:rPr>
          <w:rFonts w:hint="eastAsia" w:ascii="仿宋" w:hAnsi="仿宋" w:eastAsia="仿宋"/>
          <w:sz w:val="30"/>
          <w:szCs w:val="30"/>
          <w:lang w:val="en-US" w:eastAsia="zh-CN"/>
        </w:rPr>
        <w:t>67.81</w:t>
      </w:r>
      <w:r>
        <w:rPr>
          <w:rFonts w:hint="eastAsia" w:ascii="仿宋" w:hAnsi="仿宋" w:eastAsia="仿宋"/>
          <w:sz w:val="30"/>
          <w:szCs w:val="30"/>
        </w:rPr>
        <w:t>%，决算数较</w:t>
      </w:r>
      <w:r>
        <w:rPr>
          <w:rFonts w:hint="eastAsia" w:ascii="仿宋" w:hAnsi="仿宋" w:eastAsia="仿宋"/>
          <w:sz w:val="30"/>
          <w:szCs w:val="30"/>
          <w:lang w:val="en-US" w:eastAsia="zh-CN"/>
        </w:rPr>
        <w:t>2020</w:t>
      </w:r>
      <w:r>
        <w:rPr>
          <w:rFonts w:hint="eastAsia" w:ascii="仿宋" w:hAnsi="仿宋" w:eastAsia="仿宋"/>
          <w:sz w:val="30"/>
          <w:szCs w:val="30"/>
        </w:rPr>
        <w:t>年</w:t>
      </w:r>
      <w:r>
        <w:rPr>
          <w:rFonts w:hint="eastAsia" w:ascii="仿宋" w:hAnsi="仿宋" w:eastAsia="仿宋"/>
          <w:sz w:val="30"/>
          <w:szCs w:val="30"/>
          <w:lang w:eastAsia="zh-CN"/>
        </w:rPr>
        <w:t>增加</w:t>
      </w:r>
      <w:r>
        <w:rPr>
          <w:rFonts w:hint="eastAsia" w:ascii="仿宋" w:hAnsi="仿宋" w:eastAsia="仿宋"/>
          <w:sz w:val="30"/>
          <w:szCs w:val="30"/>
          <w:lang w:val="en-US" w:eastAsia="zh-CN"/>
        </w:rPr>
        <w:t>30.49</w:t>
      </w:r>
      <w:r>
        <w:rPr>
          <w:rFonts w:hint="eastAsia" w:ascii="仿宋" w:hAnsi="仿宋" w:eastAsia="仿宋"/>
          <w:sz w:val="30"/>
          <w:szCs w:val="30"/>
        </w:rPr>
        <w:t>万元，</w:t>
      </w:r>
      <w:r>
        <w:rPr>
          <w:rFonts w:hint="eastAsia" w:ascii="仿宋" w:hAnsi="仿宋" w:eastAsia="仿宋"/>
          <w:sz w:val="30"/>
          <w:szCs w:val="30"/>
          <w:lang w:eastAsia="zh-CN"/>
        </w:rPr>
        <w:t>增加</w:t>
      </w:r>
      <w:r>
        <w:rPr>
          <w:rFonts w:hint="eastAsia" w:ascii="仿宋" w:hAnsi="仿宋" w:eastAsia="仿宋"/>
          <w:sz w:val="30"/>
          <w:szCs w:val="30"/>
          <w:lang w:val="en-US" w:eastAsia="zh-CN"/>
        </w:rPr>
        <w:t>179.56%，主要原因是</w:t>
      </w:r>
      <w:r>
        <w:rPr>
          <w:rFonts w:hint="eastAsia" w:ascii="仿宋" w:hAnsi="仿宋" w:eastAsia="仿宋"/>
          <w:sz w:val="30"/>
          <w:szCs w:val="30"/>
          <w:lang w:eastAsia="zh-CN"/>
        </w:rPr>
        <w:t>疫情有效控制，公务接待和商务接待活动大幅度增加</w:t>
      </w:r>
      <w:r>
        <w:rPr>
          <w:rFonts w:hint="eastAsia" w:ascii="仿宋" w:hAnsi="仿宋" w:eastAsia="仿宋"/>
          <w:sz w:val="30"/>
          <w:szCs w:val="30"/>
        </w:rPr>
        <w:t>。</w:t>
      </w:r>
      <w:r>
        <w:rPr>
          <w:rFonts w:hint="eastAsia" w:ascii="仿宋" w:hAnsi="仿宋" w:eastAsia="仿宋"/>
          <w:sz w:val="30"/>
          <w:szCs w:val="30"/>
          <w:lang w:eastAsia="zh-CN"/>
        </w:rPr>
        <w:t>决算数较年初预算数减少的主要原因是：受疫情影响，接待数量较预计减少。</w:t>
      </w:r>
      <w:bookmarkStart w:id="0" w:name="_GoBack"/>
      <w:bookmarkEnd w:id="0"/>
      <w:r>
        <w:rPr>
          <w:rFonts w:hint="eastAsia" w:ascii="仿宋" w:hAnsi="仿宋" w:eastAsia="仿宋"/>
          <w:sz w:val="30"/>
          <w:szCs w:val="30"/>
          <w:lang w:val="en-US" w:eastAsia="zh-CN"/>
        </w:rPr>
        <w:t>全年国内公务接待300批，累计接待3200人次，其中外事接待0批，累计接待0人次，主要为：</w:t>
      </w:r>
      <w:r>
        <w:rPr>
          <w:rFonts w:hint="eastAsia" w:ascii="仿宋" w:hAnsi="仿宋" w:eastAsia="仿宋"/>
          <w:sz w:val="30"/>
          <w:szCs w:val="30"/>
          <w:lang w:eastAsia="zh-CN"/>
        </w:rPr>
        <w:t>客商投资考察商务接待活动</w:t>
      </w:r>
      <w:r>
        <w:rPr>
          <w:rFonts w:hint="eastAsia" w:ascii="仿宋" w:hAnsi="仿宋" w:eastAsia="仿宋"/>
          <w:sz w:val="30"/>
          <w:szCs w:val="30"/>
        </w:rPr>
        <w:t>。</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（三）公务用车购置及运行维护费支出 0万元，其中公务用车购置年初预算数为 0万元，决算数为 0万元，完成预算的0 %，决算数较20</w:t>
      </w:r>
      <w:r>
        <w:rPr>
          <w:rFonts w:hint="eastAsia" w:ascii="仿宋" w:hAnsi="仿宋" w:eastAsia="仿宋"/>
          <w:sz w:val="30"/>
          <w:szCs w:val="30"/>
          <w:lang w:val="en-US" w:eastAsia="zh-CN"/>
        </w:rPr>
        <w:t>20</w:t>
      </w:r>
      <w:r>
        <w:rPr>
          <w:rFonts w:hint="eastAsia" w:ascii="仿宋" w:hAnsi="仿宋" w:eastAsia="仿宋"/>
          <w:sz w:val="30"/>
          <w:szCs w:val="30"/>
        </w:rPr>
        <w:t>年增加（减少） 0万元，增长（下降）0%</w:t>
      </w:r>
      <w:r>
        <w:rPr>
          <w:rFonts w:hint="eastAsia" w:ascii="仿宋" w:hAnsi="仿宋" w:eastAsia="仿宋"/>
          <w:sz w:val="30"/>
          <w:szCs w:val="30"/>
          <w:lang w:eastAsia="zh-CN"/>
        </w:rPr>
        <w:t>，</w:t>
      </w:r>
      <w:r>
        <w:rPr>
          <w:rFonts w:hint="eastAsia" w:ascii="仿宋" w:hAnsi="仿宋" w:eastAsia="仿宋"/>
          <w:sz w:val="30"/>
          <w:szCs w:val="30"/>
          <w:lang w:val="en-US" w:eastAsia="zh-CN"/>
        </w:rPr>
        <w:t>主要原因是</w:t>
      </w:r>
      <w:r>
        <w:rPr>
          <w:rFonts w:hint="eastAsia" w:ascii="仿宋" w:hAnsi="仿宋" w:eastAsia="仿宋"/>
          <w:sz w:val="30"/>
          <w:szCs w:val="30"/>
        </w:rPr>
        <w:t>公务用车改革</w:t>
      </w:r>
      <w:r>
        <w:rPr>
          <w:rFonts w:hint="eastAsia" w:ascii="仿宋" w:hAnsi="仿宋" w:eastAsia="仿宋"/>
          <w:sz w:val="30"/>
          <w:szCs w:val="30"/>
          <w:lang w:eastAsia="zh-CN"/>
        </w:rPr>
        <w:t>后无车辆购置需求，</w:t>
      </w:r>
      <w:r>
        <w:rPr>
          <w:rFonts w:hint="eastAsia" w:ascii="仿宋" w:hAnsi="仿宋" w:eastAsia="仿宋"/>
          <w:sz w:val="30"/>
          <w:szCs w:val="30"/>
          <w:lang w:val="en-US" w:eastAsia="zh-CN"/>
        </w:rPr>
        <w:t>全年购置公务用车0辆</w:t>
      </w:r>
      <w:r>
        <w:rPr>
          <w:rFonts w:hint="eastAsia" w:ascii="仿宋" w:hAnsi="仿宋" w:eastAsia="仿宋"/>
          <w:sz w:val="30"/>
          <w:szCs w:val="30"/>
        </w:rPr>
        <w:t>。决算数较年初预算数增加（减少）的主要原因是：所有公务用车进行了改革；公务用车运行维护费支出年初预算数为0万元，决算数为0 万元，完成预算的0%，决算数较20</w:t>
      </w:r>
      <w:r>
        <w:rPr>
          <w:rFonts w:hint="eastAsia" w:ascii="仿宋" w:hAnsi="仿宋" w:eastAsia="仿宋"/>
          <w:sz w:val="30"/>
          <w:szCs w:val="30"/>
          <w:lang w:val="en-US" w:eastAsia="zh-CN"/>
        </w:rPr>
        <w:t>20</w:t>
      </w:r>
      <w:r>
        <w:rPr>
          <w:rFonts w:hint="eastAsia" w:ascii="仿宋" w:hAnsi="仿宋" w:eastAsia="仿宋"/>
          <w:sz w:val="30"/>
          <w:szCs w:val="30"/>
        </w:rPr>
        <w:t>年增加（减少）0万元，增长（下降）0%</w:t>
      </w:r>
      <w:r>
        <w:rPr>
          <w:rFonts w:hint="eastAsia" w:ascii="仿宋" w:hAnsi="仿宋" w:eastAsia="仿宋"/>
          <w:sz w:val="30"/>
          <w:szCs w:val="30"/>
          <w:lang w:eastAsia="zh-CN"/>
        </w:rPr>
        <w:t>，</w:t>
      </w:r>
      <w:r>
        <w:rPr>
          <w:rFonts w:hint="eastAsia" w:ascii="仿宋" w:hAnsi="仿宋" w:eastAsia="仿宋"/>
          <w:sz w:val="30"/>
          <w:szCs w:val="30"/>
          <w:lang w:val="en-US" w:eastAsia="zh-CN"/>
        </w:rPr>
        <w:t>主要原因是</w:t>
      </w:r>
      <w:r>
        <w:rPr>
          <w:rFonts w:hint="eastAsia" w:ascii="仿宋" w:hAnsi="仿宋" w:eastAsia="仿宋"/>
          <w:sz w:val="30"/>
          <w:szCs w:val="30"/>
        </w:rPr>
        <w:t>公务用车改革</w:t>
      </w:r>
      <w:r>
        <w:rPr>
          <w:rFonts w:hint="eastAsia" w:ascii="仿宋" w:hAnsi="仿宋" w:eastAsia="仿宋"/>
          <w:sz w:val="30"/>
          <w:szCs w:val="30"/>
          <w:lang w:eastAsia="zh-CN"/>
        </w:rPr>
        <w:t>后无车辆维护费支出，年末公务用车保有</w:t>
      </w:r>
      <w:r>
        <w:rPr>
          <w:rFonts w:hint="eastAsia" w:ascii="仿宋" w:hAnsi="仿宋" w:eastAsia="仿宋"/>
          <w:sz w:val="30"/>
          <w:szCs w:val="30"/>
          <w:lang w:val="en-US" w:eastAsia="zh-CN"/>
        </w:rPr>
        <w:t>0辆。</w:t>
      </w:r>
      <w:r>
        <w:rPr>
          <w:rFonts w:hint="eastAsia" w:ascii="仿宋" w:hAnsi="仿宋" w:eastAsia="仿宋"/>
          <w:sz w:val="30"/>
          <w:szCs w:val="30"/>
        </w:rPr>
        <w:t>决算数较年初预算数增加（减少）的主要原因是：所有公务用车进行了改革。</w:t>
      </w:r>
    </w:p>
    <w:p>
      <w:pPr>
        <w:spacing w:line="560" w:lineRule="exact"/>
        <w:ind w:firstLine="600" w:firstLineChars="200"/>
        <w:jc w:val="left"/>
        <w:rPr>
          <w:rFonts w:ascii="黑体" w:hAnsi="黑体" w:eastAsia="黑体"/>
          <w:sz w:val="30"/>
          <w:szCs w:val="30"/>
          <w:highlight w:val="none"/>
        </w:rPr>
      </w:pPr>
      <w:r>
        <w:rPr>
          <w:rFonts w:hint="eastAsia" w:ascii="黑体" w:hAnsi="黑体" w:eastAsia="黑体"/>
          <w:sz w:val="30"/>
          <w:szCs w:val="30"/>
          <w:highlight w:val="none"/>
        </w:rPr>
        <w:t>六、机关运行经费支出情况说明</w:t>
      </w:r>
    </w:p>
    <w:p>
      <w:pPr>
        <w:spacing w:line="560" w:lineRule="exact"/>
        <w:ind w:firstLine="600" w:firstLineChars="200"/>
        <w:jc w:val="left"/>
        <w:rPr>
          <w:rFonts w:hint="eastAsia" w:ascii="仿宋" w:hAnsi="仿宋" w:eastAsia="仿宋"/>
          <w:sz w:val="30"/>
          <w:szCs w:val="30"/>
          <w:highlight w:val="none"/>
        </w:rPr>
      </w:pPr>
      <w:r>
        <w:rPr>
          <w:rFonts w:hint="eastAsia" w:ascii="仿宋" w:hAnsi="仿宋" w:eastAsia="仿宋"/>
          <w:sz w:val="30"/>
          <w:szCs w:val="30"/>
          <w:highlight w:val="none"/>
        </w:rPr>
        <w:t>本</w:t>
      </w:r>
      <w:r>
        <w:rPr>
          <w:rFonts w:hint="eastAsia" w:ascii="仿宋" w:hAnsi="仿宋" w:eastAsia="仿宋"/>
          <w:sz w:val="30"/>
          <w:szCs w:val="30"/>
          <w:highlight w:val="none"/>
          <w:lang w:val="en-US" w:eastAsia="zh-CN"/>
        </w:rPr>
        <w:t>单位</w:t>
      </w:r>
      <w:r>
        <w:rPr>
          <w:rFonts w:hint="default" w:ascii="仿宋" w:hAnsi="仿宋" w:eastAsia="仿宋"/>
          <w:sz w:val="30"/>
          <w:szCs w:val="30"/>
          <w:highlight w:val="none"/>
          <w:lang w:val="en"/>
        </w:rPr>
        <w:t>2021</w:t>
      </w:r>
      <w:r>
        <w:rPr>
          <w:rFonts w:hint="eastAsia" w:ascii="仿宋" w:hAnsi="仿宋" w:eastAsia="仿宋"/>
          <w:sz w:val="30"/>
          <w:szCs w:val="30"/>
          <w:highlight w:val="none"/>
        </w:rPr>
        <w:t>年度机关运行经费支出</w:t>
      </w:r>
      <w:r>
        <w:rPr>
          <w:rFonts w:hint="eastAsia" w:ascii="仿宋" w:hAnsi="仿宋" w:eastAsia="仿宋"/>
          <w:sz w:val="30"/>
          <w:szCs w:val="30"/>
          <w:highlight w:val="none"/>
          <w:lang w:val="en-US" w:eastAsia="zh-CN"/>
        </w:rPr>
        <w:t>517.63</w:t>
      </w:r>
      <w:r>
        <w:rPr>
          <w:rFonts w:hint="eastAsia" w:ascii="仿宋" w:hAnsi="仿宋" w:eastAsia="仿宋"/>
          <w:sz w:val="30"/>
          <w:szCs w:val="30"/>
          <w:highlight w:val="none"/>
        </w:rPr>
        <w:t>万元（与部门决算中行政单位和参照公务员法管理事业单位一般公共预算财政拨款基本支出中公用经费之和保持一致），较年初预算数增加</w:t>
      </w:r>
      <w:r>
        <w:rPr>
          <w:rFonts w:hint="eastAsia" w:ascii="仿宋" w:hAnsi="仿宋" w:eastAsia="仿宋"/>
          <w:sz w:val="30"/>
          <w:szCs w:val="30"/>
          <w:highlight w:val="none"/>
          <w:lang w:val="en-US" w:eastAsia="zh-CN"/>
        </w:rPr>
        <w:t>389.95</w:t>
      </w:r>
      <w:r>
        <w:rPr>
          <w:rFonts w:hint="eastAsia" w:ascii="仿宋" w:hAnsi="仿宋" w:eastAsia="仿宋"/>
          <w:sz w:val="30"/>
          <w:szCs w:val="30"/>
          <w:highlight w:val="none"/>
        </w:rPr>
        <w:t>万元，增长</w:t>
      </w:r>
      <w:r>
        <w:rPr>
          <w:rFonts w:hint="eastAsia" w:ascii="仿宋" w:hAnsi="仿宋" w:eastAsia="仿宋"/>
          <w:sz w:val="30"/>
          <w:szCs w:val="30"/>
          <w:highlight w:val="none"/>
          <w:lang w:val="en-US" w:eastAsia="zh-CN"/>
        </w:rPr>
        <w:t>305.41</w:t>
      </w:r>
      <w:r>
        <w:rPr>
          <w:rFonts w:hint="eastAsia" w:ascii="仿宋" w:hAnsi="仿宋" w:eastAsia="仿宋"/>
          <w:sz w:val="30"/>
          <w:szCs w:val="30"/>
          <w:highlight w:val="none"/>
        </w:rPr>
        <w:t>%，主要原因是：运行经费中包括招商推荐活动产生的差旅费</w:t>
      </w:r>
      <w:r>
        <w:rPr>
          <w:rFonts w:hint="eastAsia" w:ascii="仿宋" w:hAnsi="仿宋" w:eastAsia="仿宋"/>
          <w:sz w:val="30"/>
          <w:szCs w:val="30"/>
          <w:highlight w:val="none"/>
          <w:lang w:eastAsia="zh-CN"/>
        </w:rPr>
        <w:t>、其他交通费和招商引资会议费用</w:t>
      </w:r>
      <w:r>
        <w:rPr>
          <w:rFonts w:hint="eastAsia" w:ascii="仿宋" w:hAnsi="仿宋" w:eastAsia="仿宋"/>
          <w:sz w:val="30"/>
          <w:szCs w:val="30"/>
          <w:highlight w:val="none"/>
        </w:rPr>
        <w:t>。</w:t>
      </w:r>
      <w:r>
        <w:rPr>
          <w:rFonts w:hint="default" w:ascii="仿宋" w:hAnsi="仿宋" w:eastAsia="仿宋"/>
          <w:sz w:val="30"/>
          <w:szCs w:val="30"/>
          <w:highlight w:val="none"/>
          <w:lang w:val="en"/>
        </w:rPr>
        <w:t>2021</w:t>
      </w:r>
      <w:r>
        <w:rPr>
          <w:rFonts w:hint="eastAsia" w:ascii="仿宋" w:hAnsi="仿宋" w:eastAsia="仿宋"/>
          <w:sz w:val="30"/>
          <w:szCs w:val="30"/>
          <w:highlight w:val="none"/>
        </w:rPr>
        <w:t>年度机关运行经费较20</w:t>
      </w:r>
      <w:r>
        <w:rPr>
          <w:rFonts w:hint="eastAsia" w:ascii="仿宋" w:hAnsi="仿宋" w:eastAsia="仿宋"/>
          <w:sz w:val="30"/>
          <w:szCs w:val="30"/>
          <w:highlight w:val="none"/>
          <w:lang w:val="en-US" w:eastAsia="zh-CN"/>
        </w:rPr>
        <w:t>20</w:t>
      </w:r>
      <w:r>
        <w:rPr>
          <w:rFonts w:hint="eastAsia" w:ascii="仿宋" w:hAnsi="仿宋" w:eastAsia="仿宋"/>
          <w:sz w:val="30"/>
          <w:szCs w:val="30"/>
          <w:highlight w:val="none"/>
        </w:rPr>
        <w:t>年</w:t>
      </w:r>
      <w:r>
        <w:rPr>
          <w:rFonts w:hint="eastAsia" w:ascii="仿宋" w:hAnsi="仿宋" w:eastAsia="仿宋"/>
          <w:sz w:val="30"/>
          <w:szCs w:val="30"/>
          <w:highlight w:val="none"/>
          <w:lang w:eastAsia="zh-CN"/>
        </w:rPr>
        <w:t>增加</w:t>
      </w:r>
      <w:r>
        <w:rPr>
          <w:rFonts w:hint="eastAsia" w:ascii="仿宋" w:hAnsi="仿宋" w:eastAsia="仿宋"/>
          <w:sz w:val="30"/>
          <w:szCs w:val="30"/>
          <w:highlight w:val="none"/>
          <w:lang w:val="en-US" w:eastAsia="zh-CN"/>
        </w:rPr>
        <w:t>342.81</w:t>
      </w:r>
      <w:r>
        <w:rPr>
          <w:rFonts w:hint="eastAsia" w:ascii="仿宋" w:hAnsi="仿宋" w:eastAsia="仿宋"/>
          <w:sz w:val="30"/>
          <w:szCs w:val="30"/>
          <w:highlight w:val="none"/>
        </w:rPr>
        <w:t>万元，</w:t>
      </w:r>
      <w:r>
        <w:rPr>
          <w:rFonts w:hint="eastAsia" w:ascii="仿宋" w:hAnsi="仿宋" w:eastAsia="仿宋"/>
          <w:sz w:val="30"/>
          <w:szCs w:val="30"/>
          <w:highlight w:val="none"/>
          <w:lang w:eastAsia="zh-CN"/>
        </w:rPr>
        <w:t>增加</w:t>
      </w:r>
      <w:r>
        <w:rPr>
          <w:rFonts w:hint="eastAsia" w:ascii="仿宋" w:hAnsi="仿宋" w:eastAsia="仿宋"/>
          <w:sz w:val="30"/>
          <w:szCs w:val="30"/>
          <w:highlight w:val="none"/>
          <w:lang w:val="en-US" w:eastAsia="zh-CN"/>
        </w:rPr>
        <w:t>196.09</w:t>
      </w:r>
      <w:r>
        <w:rPr>
          <w:rFonts w:hint="eastAsia" w:ascii="仿宋" w:hAnsi="仿宋" w:eastAsia="仿宋"/>
          <w:sz w:val="30"/>
          <w:szCs w:val="30"/>
          <w:highlight w:val="none"/>
        </w:rPr>
        <w:t xml:space="preserve"> %，主要原因是：</w:t>
      </w:r>
      <w:r>
        <w:rPr>
          <w:rFonts w:hint="eastAsia" w:ascii="仿宋" w:hAnsi="仿宋" w:eastAsia="仿宋"/>
          <w:sz w:val="30"/>
          <w:szCs w:val="30"/>
          <w:highlight w:val="none"/>
          <w:lang w:eastAsia="zh-CN"/>
        </w:rPr>
        <w:t>本年度新增第三届赣商大会会议服务支出</w:t>
      </w:r>
      <w:r>
        <w:rPr>
          <w:rFonts w:hint="eastAsia" w:ascii="仿宋" w:hAnsi="仿宋" w:eastAsia="仿宋"/>
          <w:sz w:val="30"/>
          <w:szCs w:val="30"/>
          <w:highlight w:val="none"/>
        </w:rPr>
        <w:t>。</w:t>
      </w:r>
    </w:p>
    <w:p>
      <w:pPr>
        <w:spacing w:line="560" w:lineRule="exact"/>
        <w:ind w:firstLine="600" w:firstLineChars="200"/>
        <w:jc w:val="left"/>
        <w:rPr>
          <w:rFonts w:hint="eastAsia" w:ascii="黑体" w:hAnsi="黑体" w:eastAsia="黑体"/>
          <w:sz w:val="30"/>
          <w:szCs w:val="30"/>
          <w:highlight w:val="none"/>
        </w:rPr>
      </w:pPr>
      <w:r>
        <w:rPr>
          <w:rFonts w:hint="eastAsia" w:ascii="黑体" w:hAnsi="黑体" w:eastAsia="黑体"/>
          <w:sz w:val="30"/>
          <w:szCs w:val="30"/>
          <w:highlight w:val="none"/>
        </w:rPr>
        <w:t>七、政府采购支出情况说明</w:t>
      </w:r>
    </w:p>
    <w:p>
      <w:pPr>
        <w:pStyle w:val="7"/>
        <w:spacing w:line="560" w:lineRule="exact"/>
        <w:ind w:firstLine="600" w:firstLineChars="200"/>
        <w:rPr>
          <w:rFonts w:hint="eastAsia" w:ascii="仿宋_GB2312" w:hAnsi="仿宋_GB2312" w:eastAsia="仿宋_GB2312"/>
          <w:color w:val="auto"/>
          <w:sz w:val="30"/>
          <w:szCs w:val="30"/>
          <w:highlight w:val="yellow"/>
          <w:lang w:val="en-US" w:eastAsia="zh-CN"/>
        </w:rPr>
      </w:pPr>
      <w:r>
        <w:rPr>
          <w:rFonts w:hint="eastAsia" w:ascii="仿宋" w:hAnsi="仿宋" w:eastAsia="仿宋" w:cstheme="minorBidi"/>
          <w:kern w:val="2"/>
          <w:sz w:val="30"/>
          <w:szCs w:val="30"/>
          <w:highlight w:val="none"/>
          <w:lang w:val="en-US" w:eastAsia="zh-CN" w:bidi="ar-SA"/>
        </w:rPr>
        <w:t>本单位</w:t>
      </w:r>
      <w:r>
        <w:rPr>
          <w:rFonts w:hint="default" w:ascii="仿宋" w:hAnsi="仿宋" w:eastAsia="仿宋" w:cstheme="minorBidi"/>
          <w:kern w:val="2"/>
          <w:sz w:val="30"/>
          <w:szCs w:val="30"/>
          <w:highlight w:val="none"/>
          <w:lang w:val="en" w:eastAsia="zh-CN" w:bidi="ar-SA"/>
        </w:rPr>
        <w:t>2021</w:t>
      </w:r>
      <w:r>
        <w:rPr>
          <w:rFonts w:hint="eastAsia" w:ascii="仿宋" w:hAnsi="仿宋" w:eastAsia="仿宋"/>
          <w:sz w:val="30"/>
          <w:szCs w:val="30"/>
        </w:rPr>
        <w:t>年度政府采购支出总额</w:t>
      </w:r>
      <w:r>
        <w:rPr>
          <w:rFonts w:hint="eastAsia" w:ascii="仿宋" w:hAnsi="仿宋" w:eastAsia="仿宋"/>
          <w:sz w:val="30"/>
          <w:szCs w:val="30"/>
          <w:lang w:val="en-US" w:eastAsia="zh-CN"/>
        </w:rPr>
        <w:t>295.045</w:t>
      </w:r>
      <w:r>
        <w:rPr>
          <w:rFonts w:hint="eastAsia" w:ascii="仿宋" w:hAnsi="仿宋" w:eastAsia="仿宋"/>
          <w:sz w:val="30"/>
          <w:szCs w:val="30"/>
        </w:rPr>
        <w:t>万元，其中：政府采购货物支出</w:t>
      </w:r>
      <w:r>
        <w:rPr>
          <w:rFonts w:hint="eastAsia" w:ascii="仿宋" w:hAnsi="仿宋" w:eastAsia="仿宋"/>
          <w:sz w:val="30"/>
          <w:szCs w:val="30"/>
          <w:lang w:val="en-US" w:eastAsia="zh-CN"/>
        </w:rPr>
        <w:t>0.556</w:t>
      </w:r>
      <w:r>
        <w:rPr>
          <w:rFonts w:hint="eastAsia" w:ascii="仿宋" w:hAnsi="仿宋" w:eastAsia="仿宋"/>
          <w:sz w:val="30"/>
          <w:szCs w:val="30"/>
        </w:rPr>
        <w:t>万元、政府采购工程支出0万元、政府采购服务支出</w:t>
      </w:r>
      <w:r>
        <w:rPr>
          <w:rFonts w:hint="eastAsia" w:ascii="仿宋" w:hAnsi="仿宋" w:eastAsia="仿宋"/>
          <w:sz w:val="30"/>
          <w:szCs w:val="30"/>
          <w:lang w:val="en-US" w:eastAsia="zh-CN"/>
        </w:rPr>
        <w:t>294.489</w:t>
      </w:r>
      <w:r>
        <w:rPr>
          <w:rFonts w:hint="eastAsia" w:ascii="仿宋" w:hAnsi="仿宋" w:eastAsia="仿宋"/>
          <w:sz w:val="30"/>
          <w:szCs w:val="30"/>
        </w:rPr>
        <w:t>万元。授予中小企业合同金额</w:t>
      </w:r>
      <w:r>
        <w:rPr>
          <w:rFonts w:hint="eastAsia" w:ascii="仿宋" w:hAnsi="仿宋" w:eastAsia="仿宋"/>
          <w:sz w:val="30"/>
          <w:szCs w:val="30"/>
          <w:lang w:val="en-US" w:eastAsia="zh-CN"/>
        </w:rPr>
        <w:t>295.045</w:t>
      </w:r>
      <w:r>
        <w:rPr>
          <w:rFonts w:hint="eastAsia" w:ascii="仿宋" w:hAnsi="仿宋" w:eastAsia="仿宋"/>
          <w:sz w:val="30"/>
          <w:szCs w:val="30"/>
        </w:rPr>
        <w:t>万元，占政府采购支出总额的</w:t>
      </w:r>
      <w:r>
        <w:rPr>
          <w:rFonts w:hint="eastAsia" w:ascii="仿宋" w:hAnsi="仿宋" w:eastAsia="仿宋"/>
          <w:sz w:val="30"/>
          <w:szCs w:val="30"/>
          <w:lang w:val="en-US" w:eastAsia="zh-CN"/>
        </w:rPr>
        <w:t>99</w:t>
      </w:r>
      <w:r>
        <w:rPr>
          <w:rFonts w:hint="eastAsia" w:ascii="仿宋" w:hAnsi="仿宋" w:eastAsia="仿宋"/>
          <w:sz w:val="30"/>
          <w:szCs w:val="30"/>
        </w:rPr>
        <w:t>%，其中：授予小微企业合同金额0万元，占政府采购支出总额的0%。</w:t>
      </w:r>
      <w:r>
        <w:rPr>
          <w:rFonts w:hint="eastAsia" w:ascii="仿宋" w:hAnsi="仿宋" w:eastAsia="仿宋"/>
          <w:sz w:val="30"/>
          <w:szCs w:val="30"/>
          <w:lang w:val="en-US" w:eastAsia="zh-CN"/>
        </w:rPr>
        <w:t>货物采购授予中小企业合同金额占货物支出金额的1%，工程采购授予中小企业合同金额占工程支出金额的0%，服务采购授予中小企业合同金额占服务支出金额的99%。</w:t>
      </w:r>
    </w:p>
    <w:p>
      <w:pPr>
        <w:pStyle w:val="7"/>
        <w:spacing w:line="560" w:lineRule="exact"/>
        <w:ind w:firstLine="600" w:firstLineChars="200"/>
        <w:rPr>
          <w:rFonts w:ascii="黑体" w:hAnsi="黑体" w:eastAsia="黑体"/>
          <w:sz w:val="30"/>
          <w:szCs w:val="30"/>
        </w:rPr>
      </w:pPr>
      <w:r>
        <w:rPr>
          <w:rFonts w:hint="eastAsia" w:ascii="黑体" w:hAnsi="黑体" w:eastAsia="黑体"/>
          <w:sz w:val="30"/>
          <w:szCs w:val="30"/>
        </w:rPr>
        <w:t>八、国有资产占用情况说明</w:t>
      </w:r>
    </w:p>
    <w:p>
      <w:pPr>
        <w:spacing w:line="560" w:lineRule="exact"/>
        <w:ind w:firstLine="600" w:firstLineChars="200"/>
        <w:jc w:val="left"/>
        <w:rPr>
          <w:rFonts w:ascii="仿宋" w:hAnsi="仿宋" w:eastAsia="仿宋"/>
          <w:kern w:val="0"/>
          <w:sz w:val="30"/>
          <w:szCs w:val="30"/>
        </w:rPr>
      </w:pPr>
      <w:r>
        <w:rPr>
          <w:rFonts w:hint="eastAsia" w:ascii="仿宋" w:hAnsi="仿宋" w:eastAsia="仿宋"/>
          <w:kern w:val="0"/>
          <w:sz w:val="30"/>
          <w:szCs w:val="30"/>
        </w:rPr>
        <w:t>截止</w:t>
      </w:r>
      <w:r>
        <w:rPr>
          <w:rFonts w:hint="default" w:ascii="仿宋" w:hAnsi="仿宋" w:eastAsia="仿宋"/>
          <w:kern w:val="0"/>
          <w:sz w:val="30"/>
          <w:szCs w:val="30"/>
          <w:lang w:val="en"/>
        </w:rPr>
        <w:t>2021</w:t>
      </w:r>
      <w:r>
        <w:rPr>
          <w:rFonts w:hint="eastAsia" w:ascii="仿宋" w:hAnsi="仿宋" w:eastAsia="仿宋"/>
          <w:kern w:val="0"/>
          <w:sz w:val="30"/>
          <w:szCs w:val="30"/>
        </w:rPr>
        <w:t>年12月31日，本</w:t>
      </w:r>
      <w:r>
        <w:rPr>
          <w:rFonts w:hint="eastAsia" w:ascii="仿宋" w:hAnsi="仿宋" w:eastAsia="仿宋"/>
          <w:kern w:val="0"/>
          <w:sz w:val="30"/>
          <w:szCs w:val="30"/>
          <w:lang w:eastAsia="zh-CN"/>
        </w:rPr>
        <w:t>单位</w:t>
      </w:r>
      <w:r>
        <w:rPr>
          <w:rFonts w:hint="eastAsia" w:ascii="仿宋" w:hAnsi="仿宋" w:eastAsia="仿宋"/>
          <w:kern w:val="0"/>
          <w:sz w:val="30"/>
          <w:szCs w:val="30"/>
        </w:rPr>
        <w:t>国有资产占用情况见公开</w:t>
      </w:r>
      <w:r>
        <w:rPr>
          <w:rFonts w:hint="eastAsia" w:ascii="仿宋" w:hAnsi="仿宋" w:eastAsia="仿宋"/>
          <w:kern w:val="0"/>
          <w:sz w:val="30"/>
          <w:szCs w:val="30"/>
          <w:lang w:val="en-US" w:eastAsia="zh-CN"/>
        </w:rPr>
        <w:t>10</w:t>
      </w:r>
      <w:r>
        <w:rPr>
          <w:rFonts w:hint="eastAsia" w:ascii="仿宋" w:hAnsi="仿宋" w:eastAsia="仿宋"/>
          <w:kern w:val="0"/>
          <w:sz w:val="30"/>
          <w:szCs w:val="30"/>
        </w:rPr>
        <w:t>表《国有资产占用情况表》。本</w:t>
      </w:r>
      <w:r>
        <w:rPr>
          <w:rFonts w:hint="eastAsia" w:ascii="仿宋" w:hAnsi="仿宋" w:eastAsia="仿宋"/>
          <w:kern w:val="0"/>
          <w:sz w:val="30"/>
          <w:szCs w:val="30"/>
          <w:lang w:eastAsia="zh-CN"/>
        </w:rPr>
        <w:t>单位</w:t>
      </w:r>
      <w:r>
        <w:rPr>
          <w:rFonts w:hint="eastAsia" w:ascii="仿宋" w:hAnsi="仿宋" w:eastAsia="仿宋"/>
          <w:kern w:val="0"/>
          <w:sz w:val="30"/>
          <w:szCs w:val="30"/>
        </w:rPr>
        <w:t>共有车辆0辆，其中，副部（省）级及以上领导用车0辆、主要领导干部用车0辆、机要通信用车0辆、应急保障用车0辆、执法执勤用车0辆、特种专业技术用车0辆、其他用车0辆，其他用车0辆；单位价值50万元以上通用设备0台（套）；单位价值100万元以上专用设备0台（套）。</w:t>
      </w:r>
    </w:p>
    <w:p>
      <w:pPr>
        <w:spacing w:line="560" w:lineRule="exact"/>
        <w:ind w:firstLine="600" w:firstLineChars="200"/>
        <w:jc w:val="left"/>
        <w:rPr>
          <w:rFonts w:hint="eastAsia" w:ascii="仿宋" w:hAnsi="仿宋" w:eastAsia="仿宋"/>
          <w:kern w:val="0"/>
          <w:sz w:val="30"/>
          <w:szCs w:val="30"/>
        </w:rPr>
      </w:pPr>
      <w:r>
        <w:rPr>
          <w:rFonts w:hint="eastAsia" w:ascii="仿宋" w:hAnsi="仿宋" w:eastAsia="仿宋"/>
          <w:kern w:val="0"/>
          <w:sz w:val="30"/>
          <w:szCs w:val="30"/>
        </w:rPr>
        <w:t>九、预算绩效情况说明</w:t>
      </w:r>
    </w:p>
    <w:p>
      <w:pPr>
        <w:autoSpaceDE w:val="0"/>
        <w:autoSpaceDN w:val="0"/>
        <w:adjustRightInd w:val="0"/>
        <w:spacing w:line="560" w:lineRule="exact"/>
        <w:ind w:firstLine="600" w:firstLineChars="200"/>
        <w:jc w:val="left"/>
        <w:rPr>
          <w:rFonts w:ascii="仿宋" w:hAnsi="仿宋" w:eastAsia="仿宋" w:cs="仿宋_GB2312"/>
          <w:kern w:val="0"/>
          <w:sz w:val="30"/>
          <w:szCs w:val="30"/>
        </w:rPr>
      </w:pPr>
      <w:r>
        <w:rPr>
          <w:rFonts w:hint="eastAsia" w:ascii="仿宋" w:hAnsi="仿宋" w:eastAsia="仿宋" w:cs="仿宋_GB2312"/>
          <w:kern w:val="0"/>
          <w:sz w:val="30"/>
          <w:szCs w:val="30"/>
        </w:rPr>
        <w:t>（一）绩效管理工作开展情况</w:t>
      </w:r>
    </w:p>
    <w:p>
      <w:pPr>
        <w:ind w:firstLine="600" w:firstLineChars="200"/>
        <w:rPr>
          <w:rFonts w:ascii="仿宋" w:hAnsi="仿宋" w:eastAsia="仿宋" w:cs="仿宋_GB2312"/>
          <w:kern w:val="0"/>
          <w:sz w:val="30"/>
          <w:szCs w:val="30"/>
          <w:highlight w:val="none"/>
        </w:rPr>
      </w:pPr>
      <w:r>
        <w:rPr>
          <w:rFonts w:hint="eastAsia" w:ascii="仿宋" w:hAnsi="仿宋" w:eastAsia="仿宋" w:cs="仿宋_GB2312"/>
          <w:kern w:val="0"/>
          <w:sz w:val="30"/>
          <w:szCs w:val="30"/>
          <w:highlight w:val="none"/>
        </w:rPr>
        <w:t>根据预算绩效管理要求，组织对</w:t>
      </w:r>
      <w:r>
        <w:rPr>
          <w:rFonts w:hint="default" w:ascii="仿宋" w:hAnsi="仿宋" w:eastAsia="仿宋" w:cs="仿宋_GB2312"/>
          <w:kern w:val="0"/>
          <w:sz w:val="30"/>
          <w:szCs w:val="30"/>
          <w:highlight w:val="none"/>
          <w:lang w:val="en" w:eastAsia="zh-CN"/>
        </w:rPr>
        <w:t>2021</w:t>
      </w:r>
      <w:r>
        <w:rPr>
          <w:rFonts w:hint="eastAsia" w:ascii="仿宋" w:hAnsi="仿宋" w:eastAsia="仿宋" w:cs="仿宋_GB2312"/>
          <w:kern w:val="0"/>
          <w:sz w:val="30"/>
          <w:szCs w:val="30"/>
          <w:highlight w:val="none"/>
        </w:rPr>
        <w:t>年度一般公共预算项目支出全面开展绩效自评，</w:t>
      </w:r>
      <w:r>
        <w:rPr>
          <w:rFonts w:hint="eastAsia" w:ascii="仿宋" w:hAnsi="仿宋" w:eastAsia="仿宋" w:cs="仿宋_GB2312"/>
          <w:kern w:val="0"/>
          <w:sz w:val="30"/>
          <w:szCs w:val="30"/>
          <w:highlight w:val="none"/>
          <w:lang w:val="en-US" w:eastAsia="zh-CN"/>
        </w:rPr>
        <w:t>共有项目13个，</w:t>
      </w:r>
      <w:r>
        <w:rPr>
          <w:rFonts w:hint="eastAsia" w:ascii="仿宋" w:hAnsi="仿宋" w:eastAsia="仿宋" w:cs="仿宋_GB2312"/>
          <w:kern w:val="0"/>
          <w:sz w:val="30"/>
          <w:szCs w:val="30"/>
          <w:highlight w:val="none"/>
        </w:rPr>
        <w:t>共涉及资金</w:t>
      </w:r>
      <w:r>
        <w:rPr>
          <w:rFonts w:hint="eastAsia" w:ascii="仿宋" w:hAnsi="仿宋" w:eastAsia="仿宋" w:cs="仿宋_GB2312"/>
          <w:kern w:val="0"/>
          <w:sz w:val="30"/>
          <w:szCs w:val="30"/>
          <w:highlight w:val="none"/>
          <w:lang w:val="en-US" w:eastAsia="zh-CN"/>
        </w:rPr>
        <w:t>15649.71</w:t>
      </w:r>
      <w:r>
        <w:rPr>
          <w:rFonts w:hint="eastAsia" w:ascii="仿宋" w:hAnsi="仿宋" w:eastAsia="仿宋" w:cs="仿宋_GB2312"/>
          <w:kern w:val="0"/>
          <w:sz w:val="30"/>
          <w:szCs w:val="30"/>
          <w:highlight w:val="none"/>
        </w:rPr>
        <w:t>万元，占一般公共预算项目支出总额的100%,包括由市本级直接支付的项目支出。</w:t>
      </w:r>
    </w:p>
    <w:p>
      <w:pPr>
        <w:numPr>
          <w:ilvl w:val="0"/>
          <w:numId w:val="3"/>
        </w:numPr>
        <w:autoSpaceDE w:val="0"/>
        <w:autoSpaceDN w:val="0"/>
        <w:adjustRightInd w:val="0"/>
        <w:spacing w:line="560" w:lineRule="exact"/>
        <w:ind w:firstLine="600" w:firstLineChars="200"/>
        <w:jc w:val="left"/>
        <w:rPr>
          <w:rFonts w:hint="eastAsia" w:ascii="仿宋" w:hAnsi="仿宋" w:eastAsia="仿宋" w:cs="仿宋_GB2312"/>
          <w:kern w:val="0"/>
          <w:sz w:val="30"/>
          <w:szCs w:val="30"/>
        </w:rPr>
      </w:pPr>
      <w:r>
        <w:rPr>
          <w:rFonts w:hint="eastAsia" w:ascii="仿宋" w:hAnsi="仿宋" w:eastAsia="仿宋" w:cs="仿宋_GB2312"/>
          <w:kern w:val="0"/>
          <w:sz w:val="30"/>
          <w:szCs w:val="30"/>
          <w:highlight w:val="none"/>
          <w:lang w:val="en-US" w:eastAsia="zh-CN"/>
        </w:rPr>
        <w:t>项目支出</w:t>
      </w:r>
      <w:r>
        <w:rPr>
          <w:rFonts w:hint="eastAsia" w:ascii="仿宋" w:hAnsi="仿宋" w:eastAsia="仿宋" w:cs="仿宋_GB2312"/>
          <w:kern w:val="0"/>
          <w:sz w:val="30"/>
          <w:szCs w:val="30"/>
          <w:highlight w:val="none"/>
        </w:rPr>
        <w:t>绩</w:t>
      </w:r>
      <w:r>
        <w:rPr>
          <w:rFonts w:hint="eastAsia" w:ascii="仿宋" w:hAnsi="仿宋" w:eastAsia="仿宋" w:cs="仿宋_GB2312"/>
          <w:kern w:val="0"/>
          <w:sz w:val="30"/>
          <w:szCs w:val="30"/>
        </w:rPr>
        <w:t>效自评结果</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highlight w:val="none"/>
        </w:rPr>
      </w:pPr>
      <w:r>
        <w:rPr>
          <w:rFonts w:hint="eastAsia" w:ascii="仿宋" w:hAnsi="仿宋" w:eastAsia="仿宋" w:cs="仿宋_GB2312"/>
          <w:kern w:val="0"/>
          <w:sz w:val="30"/>
          <w:szCs w:val="30"/>
          <w:highlight w:val="none"/>
        </w:rPr>
        <w:t>今年在</w:t>
      </w:r>
      <w:r>
        <w:rPr>
          <w:rFonts w:hint="eastAsia" w:ascii="仿宋" w:hAnsi="仿宋" w:eastAsia="仿宋" w:cs="仿宋_GB2312"/>
          <w:kern w:val="0"/>
          <w:sz w:val="30"/>
          <w:szCs w:val="30"/>
          <w:highlight w:val="none"/>
          <w:lang w:eastAsia="zh-CN"/>
        </w:rPr>
        <w:t>单位</w:t>
      </w:r>
      <w:r>
        <w:rPr>
          <w:rFonts w:hint="eastAsia" w:ascii="仿宋" w:hAnsi="仿宋" w:eastAsia="仿宋" w:cs="仿宋_GB2312"/>
          <w:kern w:val="0"/>
          <w:sz w:val="30"/>
          <w:szCs w:val="30"/>
          <w:highlight w:val="none"/>
        </w:rPr>
        <w:t>决算中反映2021年度开放型经济周刊项目资金的绩效自评结果。</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highlight w:val="none"/>
        </w:rPr>
      </w:pPr>
      <w:r>
        <w:rPr>
          <w:rFonts w:hint="eastAsia" w:ascii="仿宋" w:hAnsi="仿宋" w:eastAsia="仿宋" w:cs="仿宋_GB2312"/>
          <w:kern w:val="0"/>
          <w:sz w:val="30"/>
          <w:szCs w:val="30"/>
          <w:highlight w:val="none"/>
        </w:rPr>
        <w:t>2021年度开放型经济周刊项目绩效自评综述：根据年初设定的绩效目标，2021年度开放型经济周刊项目绩效自评得分为100分。项目全年预算数为60万元，执行数为60万元，完成预算的100%。主要产出和效果：一是全年在《赣南日报》刊发《开放型经济周刊》40期；二是通过加大开放型经济宣传力度，促进我市开放型经济发展，我市荣获2021年度全省开放型经济综合先进设区市。发现的问题及原因：一是学习借鉴宣传外地开放型经济好的经验做法不多；二是对全市招商引资宣传推介不够。下一步改进措施：一是围绕“三大战略”“八大行动”，积极宣传我市开展招大引强、促进外贸量稳质升、推进开放平台建设等情况。二是积极借鉴外地开放型经济先进经验做法，推动我市开放型经济高质量发展。</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highlight w:val="none"/>
        </w:rPr>
      </w:pPr>
      <w:r>
        <w:rPr>
          <w:rFonts w:hint="eastAsia" w:ascii="仿宋" w:hAnsi="仿宋" w:eastAsia="仿宋" w:cs="仿宋_GB2312"/>
          <w:kern w:val="0"/>
          <w:sz w:val="30"/>
          <w:szCs w:val="30"/>
          <w:highlight w:val="none"/>
        </w:rPr>
        <w:t>2021年开放型经济周刊项目绩效自评综述：全年共刊发40期，对全市开放型经济发展进行了较为全面的宣传，为全市开放型经济发展营造了良好的氛围。</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highlight w:val="none"/>
          <w:lang w:eastAsia="zh-CN"/>
        </w:rPr>
      </w:pPr>
      <w:r>
        <w:rPr>
          <w:rFonts w:hint="eastAsia" w:ascii="仿宋" w:hAnsi="仿宋" w:eastAsia="仿宋" w:cs="仿宋_GB2312"/>
          <w:kern w:val="0"/>
          <w:sz w:val="30"/>
          <w:szCs w:val="30"/>
          <w:highlight w:val="none"/>
          <w:lang w:eastAsia="zh-CN"/>
        </w:rPr>
        <w:t>附件《项目支出绩效自评表》</w:t>
      </w:r>
    </w:p>
    <w:p>
      <w:pPr>
        <w:autoSpaceDE w:val="0"/>
        <w:autoSpaceDN w:val="0"/>
        <w:adjustRightInd w:val="0"/>
        <w:spacing w:line="360" w:lineRule="auto"/>
        <w:ind w:firstLine="600" w:firstLineChars="200"/>
        <w:jc w:val="left"/>
        <w:rPr>
          <w:rFonts w:hint="eastAsia" w:ascii="仿宋" w:hAnsi="仿宋" w:eastAsia="仿宋" w:cs="仿宋_GB2312"/>
          <w:kern w:val="0"/>
          <w:sz w:val="30"/>
          <w:szCs w:val="30"/>
          <w:highlight w:val="none"/>
        </w:rPr>
      </w:pPr>
    </w:p>
    <w:p>
      <w:pPr>
        <w:widowControl/>
        <w:spacing w:line="560" w:lineRule="exact"/>
        <w:ind w:firstLine="642" w:firstLineChars="200"/>
        <w:jc w:val="center"/>
        <w:rPr>
          <w:rFonts w:ascii="宋体" w:hAnsi="宋体"/>
          <w:b/>
          <w:sz w:val="32"/>
          <w:szCs w:val="32"/>
        </w:rPr>
      </w:pPr>
      <w:r>
        <w:rPr>
          <w:rFonts w:hint="eastAsia" w:ascii="宋体" w:hAnsi="宋体"/>
          <w:b/>
          <w:sz w:val="32"/>
          <w:szCs w:val="32"/>
        </w:rPr>
        <w:t>第四部分  名词解释</w:t>
      </w:r>
    </w:p>
    <w:p>
      <w:pPr>
        <w:pStyle w:val="7"/>
        <w:spacing w:line="560" w:lineRule="exact"/>
        <w:ind w:firstLine="600" w:firstLineChars="200"/>
        <w:rPr>
          <w:rFonts w:ascii="仿宋" w:hAnsi="仿宋" w:eastAsia="仿宋"/>
          <w:sz w:val="30"/>
          <w:szCs w:val="30"/>
        </w:rPr>
      </w:pPr>
    </w:p>
    <w:p>
      <w:pPr>
        <w:spacing w:line="560" w:lineRule="exact"/>
        <w:ind w:firstLine="600" w:firstLineChars="200"/>
        <w:jc w:val="left"/>
        <w:rPr>
          <w:rFonts w:ascii="仿宋" w:hAnsi="仿宋" w:eastAsia="仿宋"/>
          <w:sz w:val="30"/>
          <w:szCs w:val="30"/>
        </w:rPr>
      </w:pPr>
      <w:r>
        <w:rPr>
          <w:rFonts w:hint="eastAsia" w:ascii="仿宋" w:hAnsi="仿宋" w:eastAsia="仿宋"/>
          <w:kern w:val="0"/>
          <w:sz w:val="30"/>
          <w:szCs w:val="30"/>
        </w:rPr>
        <w:t xml:space="preserve"> 名词解释应以财务会计制度、政府收支分类科目以及部门预算管理等规定为基本说明，可在此基础上结合部门实际情况适当细化。“三公”经费支出和机关运行经费支出口径必需予以说明。</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一、财政拨款收入：</w:t>
      </w:r>
      <w:r>
        <w:rPr>
          <w:rFonts w:ascii="仿宋" w:hAnsi="仿宋" w:eastAsia="仿宋"/>
          <w:sz w:val="30"/>
          <w:szCs w:val="30"/>
        </w:rPr>
        <w:t>指单位本年度从</w:t>
      </w:r>
      <w:r>
        <w:rPr>
          <w:rFonts w:hint="eastAsia" w:ascii="仿宋" w:hAnsi="仿宋" w:eastAsia="仿宋"/>
          <w:sz w:val="30"/>
          <w:szCs w:val="30"/>
        </w:rPr>
        <w:t>本</w:t>
      </w:r>
      <w:r>
        <w:rPr>
          <w:rFonts w:ascii="仿宋" w:hAnsi="仿宋" w:eastAsia="仿宋"/>
          <w:sz w:val="30"/>
          <w:szCs w:val="30"/>
        </w:rPr>
        <w:t>级财政部门取得的财政拨款</w:t>
      </w:r>
      <w:r>
        <w:rPr>
          <w:rFonts w:hint="eastAsia" w:ascii="仿宋" w:hAnsi="仿宋" w:eastAsia="仿宋"/>
          <w:sz w:val="30"/>
          <w:szCs w:val="30"/>
        </w:rPr>
        <w:t>，包括一般公共预算财政拨款和政府性基金预算财政拨款。</w:t>
      </w:r>
    </w:p>
    <w:p>
      <w:pPr>
        <w:spacing w:line="560" w:lineRule="exact"/>
        <w:ind w:firstLine="600" w:firstLineChars="200"/>
        <w:jc w:val="left"/>
        <w:rPr>
          <w:rFonts w:ascii="仿宋" w:hAnsi="仿宋" w:eastAsia="仿宋"/>
          <w:sz w:val="30"/>
          <w:szCs w:val="30"/>
        </w:rPr>
      </w:pPr>
      <w:r>
        <w:rPr>
          <w:rFonts w:ascii="仿宋" w:hAnsi="仿宋" w:eastAsia="仿宋"/>
          <w:sz w:val="30"/>
          <w:szCs w:val="30"/>
        </w:rPr>
        <w:t>二、上级补助收入：指事业单位从主管部门和上级单位取得的非财政补助收入。</w:t>
      </w:r>
    </w:p>
    <w:p>
      <w:pPr>
        <w:spacing w:line="560" w:lineRule="exact"/>
        <w:ind w:firstLine="600" w:firstLineChars="200"/>
        <w:jc w:val="left"/>
        <w:rPr>
          <w:rFonts w:ascii="仿宋" w:hAnsi="仿宋" w:eastAsia="仿宋"/>
          <w:sz w:val="30"/>
          <w:szCs w:val="30"/>
        </w:rPr>
      </w:pPr>
      <w:r>
        <w:rPr>
          <w:rFonts w:ascii="仿宋" w:hAnsi="仿宋" w:eastAsia="仿宋"/>
          <w:sz w:val="30"/>
          <w:szCs w:val="30"/>
        </w:rPr>
        <w:t>三、事业收入：指事业单位开展专业业务活动及其辅助活动取得的收入</w:t>
      </w:r>
      <w:r>
        <w:rPr>
          <w:rFonts w:hint="eastAsia" w:ascii="仿宋" w:hAnsi="仿宋" w:eastAsia="仿宋"/>
          <w:sz w:val="30"/>
          <w:szCs w:val="30"/>
        </w:rPr>
        <w:t>；</w:t>
      </w:r>
      <w:r>
        <w:rPr>
          <w:rFonts w:ascii="仿宋" w:hAnsi="仿宋" w:eastAsia="仿宋"/>
          <w:sz w:val="30"/>
          <w:szCs w:val="30"/>
        </w:rPr>
        <w:t>事业单位收到的财政专户实际核拨的教育收费等资金在此反映。</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四、经营收入：指事业单位在专业业务活动及其辅助活动之外开展非独立核算经营活动取得的收入。</w:t>
      </w:r>
    </w:p>
    <w:p>
      <w:pPr>
        <w:spacing w:line="560" w:lineRule="exact"/>
        <w:ind w:firstLine="600" w:firstLineChars="200"/>
        <w:jc w:val="left"/>
        <w:rPr>
          <w:rFonts w:ascii="仿宋" w:hAnsi="仿宋" w:eastAsia="仿宋"/>
          <w:sz w:val="30"/>
          <w:szCs w:val="30"/>
        </w:rPr>
      </w:pPr>
      <w:r>
        <w:rPr>
          <w:rFonts w:ascii="仿宋" w:hAnsi="仿宋" w:eastAsia="仿宋"/>
          <w:sz w:val="30"/>
          <w:szCs w:val="30"/>
        </w:rPr>
        <w:t>五、附属单位缴款：指事业单位附属独立核算单位按照有关规定上缴的收入。</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六、其他收入：指单位取得的除上述“财政拨款收入”、“事业收入”、“经营收入”</w:t>
      </w:r>
      <w:r>
        <w:rPr>
          <w:rFonts w:hint="eastAsia" w:ascii="仿宋" w:hAnsi="仿宋" w:eastAsia="仿宋"/>
          <w:sz w:val="30"/>
          <w:szCs w:val="30"/>
        </w:rPr>
        <w:t>、“附属单位缴款”</w:t>
      </w:r>
      <w:r>
        <w:rPr>
          <w:rFonts w:ascii="仿宋" w:hAnsi="仿宋" w:eastAsia="仿宋"/>
          <w:sz w:val="30"/>
          <w:szCs w:val="30"/>
        </w:rPr>
        <w:t>等以外的各项收入。</w:t>
      </w:r>
    </w:p>
    <w:p>
      <w:pPr>
        <w:spacing w:line="560" w:lineRule="exact"/>
        <w:ind w:firstLine="600" w:firstLineChars="200"/>
        <w:jc w:val="left"/>
        <w:rPr>
          <w:rFonts w:ascii="仿宋" w:hAnsi="仿宋" w:eastAsia="仿宋"/>
          <w:sz w:val="30"/>
          <w:szCs w:val="30"/>
        </w:rPr>
      </w:pPr>
      <w:r>
        <w:rPr>
          <w:rFonts w:ascii="仿宋" w:hAnsi="仿宋" w:eastAsia="仿宋"/>
          <w:sz w:val="30"/>
          <w:szCs w:val="30"/>
        </w:rPr>
        <w:t>七、用事业基金弥补收支差额：指事业单位用事业基金弥补当年收支差额的数额。</w:t>
      </w:r>
      <w:r>
        <w:rPr>
          <w:rFonts w:hint="eastAsia" w:ascii="仿宋" w:hAnsi="仿宋" w:eastAsia="仿宋"/>
          <w:sz w:val="30"/>
          <w:szCs w:val="30"/>
        </w:rPr>
        <w:t> </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八、年初结转和结余：指单位上年结转本年使用的基本支出结转、项目支出结转和结余和经营结余。</w:t>
      </w:r>
      <w:r>
        <w:rPr>
          <w:rFonts w:hint="eastAsia" w:ascii="仿宋" w:hAnsi="仿宋" w:eastAsia="仿宋"/>
          <w:sz w:val="30"/>
          <w:szCs w:val="30"/>
        </w:rPr>
        <w:t> </w:t>
      </w:r>
    </w:p>
    <w:p>
      <w:pPr>
        <w:spacing w:line="560" w:lineRule="exact"/>
        <w:ind w:firstLine="600" w:firstLineChars="200"/>
        <w:jc w:val="left"/>
        <w:rPr>
          <w:rFonts w:ascii="仿宋" w:hAnsi="仿宋" w:eastAsia="仿宋"/>
          <w:sz w:val="30"/>
          <w:szCs w:val="30"/>
        </w:rPr>
      </w:pPr>
      <w:r>
        <w:rPr>
          <w:rFonts w:hint="eastAsia" w:ascii="仿宋" w:hAnsi="仿宋" w:eastAsia="仿宋"/>
          <w:sz w:val="30"/>
          <w:szCs w:val="30"/>
        </w:rPr>
        <w:t>九</w:t>
      </w:r>
      <w:r>
        <w:rPr>
          <w:rFonts w:ascii="仿宋" w:hAnsi="仿宋" w:eastAsia="仿宋"/>
          <w:sz w:val="30"/>
          <w:szCs w:val="30"/>
        </w:rPr>
        <w:t>、结余分配：指事业单位按规定对非财政补助结余资金提取的职工福利基金、事业基金和缴纳的所得税，以及减少单位按规定应缴回的基本建设竣工项目结余资金。</w:t>
      </w:r>
      <w:r>
        <w:rPr>
          <w:rFonts w:hint="eastAsia" w:ascii="仿宋" w:hAnsi="仿宋" w:eastAsia="仿宋"/>
          <w:sz w:val="30"/>
          <w:szCs w:val="30"/>
        </w:rPr>
        <w:t> </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十、年末结转和结余资金：</w:t>
      </w:r>
      <w:r>
        <w:rPr>
          <w:rFonts w:hint="eastAsia" w:ascii="仿宋" w:hAnsi="仿宋" w:eastAsia="仿宋"/>
          <w:sz w:val="30"/>
          <w:szCs w:val="30"/>
        </w:rPr>
        <w:t>指单位结转下年的基本支出结转、项目支出结转和结余和经营结余。</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十</w:t>
      </w:r>
      <w:r>
        <w:rPr>
          <w:rFonts w:hint="eastAsia" w:ascii="仿宋" w:hAnsi="仿宋" w:eastAsia="仿宋"/>
          <w:sz w:val="30"/>
          <w:szCs w:val="30"/>
        </w:rPr>
        <w:t>一</w:t>
      </w:r>
      <w:r>
        <w:rPr>
          <w:rFonts w:ascii="仿宋" w:hAnsi="仿宋" w:eastAsia="仿宋"/>
          <w:sz w:val="30"/>
          <w:szCs w:val="30"/>
        </w:rPr>
        <w:t>、基本支出：指为保障机构正常运转、完成日常工作任务而发生的人员支出和公用支出。</w:t>
      </w:r>
      <w:r>
        <w:rPr>
          <w:rFonts w:hint="eastAsia" w:ascii="仿宋" w:hAnsi="仿宋" w:eastAsia="仿宋"/>
          <w:sz w:val="30"/>
          <w:szCs w:val="30"/>
        </w:rPr>
        <w:t> </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十</w:t>
      </w:r>
      <w:r>
        <w:rPr>
          <w:rFonts w:hint="eastAsia" w:ascii="仿宋" w:hAnsi="仿宋" w:eastAsia="仿宋"/>
          <w:sz w:val="30"/>
          <w:szCs w:val="30"/>
        </w:rPr>
        <w:t>二</w:t>
      </w:r>
      <w:r>
        <w:rPr>
          <w:rFonts w:ascii="仿宋" w:hAnsi="仿宋" w:eastAsia="仿宋"/>
          <w:sz w:val="30"/>
          <w:szCs w:val="30"/>
        </w:rPr>
        <w:t>、项目支出：指在基本支出之外为完成特定的行政任务或事业发展目标所发生的支出。</w:t>
      </w:r>
      <w:r>
        <w:rPr>
          <w:rFonts w:hint="eastAsia" w:ascii="仿宋" w:hAnsi="仿宋" w:eastAsia="仿宋"/>
          <w:sz w:val="30"/>
          <w:szCs w:val="30"/>
        </w:rPr>
        <w:t> </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十</w:t>
      </w:r>
      <w:r>
        <w:rPr>
          <w:rFonts w:hint="eastAsia" w:ascii="仿宋" w:hAnsi="仿宋" w:eastAsia="仿宋"/>
          <w:sz w:val="30"/>
          <w:szCs w:val="30"/>
        </w:rPr>
        <w:t>三</w:t>
      </w:r>
      <w:r>
        <w:rPr>
          <w:rFonts w:ascii="仿宋" w:hAnsi="仿宋" w:eastAsia="仿宋"/>
          <w:sz w:val="30"/>
          <w:szCs w:val="30"/>
        </w:rPr>
        <w:t>、上缴上级支出：指事业单位按照财政部门和主管部门的规定上缴上级单位的支出。</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十</w:t>
      </w:r>
      <w:r>
        <w:rPr>
          <w:rFonts w:hint="eastAsia" w:ascii="仿宋" w:hAnsi="仿宋" w:eastAsia="仿宋"/>
          <w:sz w:val="30"/>
          <w:szCs w:val="30"/>
        </w:rPr>
        <w:t>四</w:t>
      </w:r>
      <w:r>
        <w:rPr>
          <w:rFonts w:ascii="仿宋" w:hAnsi="仿宋" w:eastAsia="仿宋"/>
          <w:sz w:val="30"/>
          <w:szCs w:val="30"/>
        </w:rPr>
        <w:t>、经营支出：指事业单位在专业业务活动及其辅助活动之外开展非独立核算经营活动发生的支出。</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十</w:t>
      </w:r>
      <w:r>
        <w:rPr>
          <w:rFonts w:hint="eastAsia" w:ascii="仿宋" w:hAnsi="仿宋" w:eastAsia="仿宋"/>
          <w:sz w:val="30"/>
          <w:szCs w:val="30"/>
        </w:rPr>
        <w:t>五</w:t>
      </w:r>
      <w:r>
        <w:rPr>
          <w:rFonts w:ascii="仿宋" w:hAnsi="仿宋" w:eastAsia="仿宋"/>
          <w:sz w:val="30"/>
          <w:szCs w:val="30"/>
        </w:rPr>
        <w:t>、对附属单位补助支出：指事业单位用财政补助收入之外的收入对附属单位补助发生的支出。</w:t>
      </w:r>
    </w:p>
    <w:p>
      <w:pPr>
        <w:spacing w:line="560" w:lineRule="exact"/>
        <w:ind w:firstLine="600" w:firstLineChars="200"/>
        <w:jc w:val="left"/>
        <w:rPr>
          <w:rFonts w:ascii="仿宋" w:hAnsi="仿宋" w:eastAsia="仿宋"/>
          <w:sz w:val="30"/>
          <w:szCs w:val="30"/>
        </w:rPr>
      </w:pPr>
      <w:r>
        <w:rPr>
          <w:rFonts w:ascii="仿宋" w:hAnsi="仿宋" w:eastAsia="仿宋"/>
          <w:sz w:val="30"/>
          <w:szCs w:val="30"/>
        </w:rPr>
        <w:t>十</w:t>
      </w:r>
      <w:r>
        <w:rPr>
          <w:rFonts w:hint="eastAsia" w:ascii="仿宋" w:hAnsi="仿宋" w:eastAsia="仿宋"/>
          <w:sz w:val="30"/>
          <w:szCs w:val="30"/>
        </w:rPr>
        <w:t>六</w:t>
      </w:r>
      <w:r>
        <w:rPr>
          <w:rFonts w:ascii="仿宋" w:hAnsi="仿宋" w:eastAsia="仿宋"/>
          <w:sz w:val="30"/>
          <w:szCs w:val="30"/>
        </w:rPr>
        <w:t>、“三公”经费：指</w:t>
      </w:r>
      <w:r>
        <w:rPr>
          <w:rFonts w:hint="eastAsia" w:ascii="仿宋" w:hAnsi="仿宋" w:eastAsia="仿宋"/>
          <w:sz w:val="30"/>
          <w:szCs w:val="30"/>
        </w:rPr>
        <w:t>各</w:t>
      </w:r>
      <w:r>
        <w:rPr>
          <w:rFonts w:ascii="仿宋" w:hAnsi="仿宋" w:eastAsia="仿宋"/>
          <w:sz w:val="30"/>
          <w:szCs w:val="30"/>
        </w:rPr>
        <w:t>部门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r>
        <w:rPr>
          <w:rFonts w:hint="eastAsia" w:ascii="仿宋" w:hAnsi="仿宋" w:eastAsia="仿宋"/>
          <w:sz w:val="30"/>
          <w:szCs w:val="30"/>
        </w:rPr>
        <w:t> </w:t>
      </w:r>
    </w:p>
    <w:p>
      <w:pPr>
        <w:spacing w:line="560" w:lineRule="exact"/>
        <w:ind w:firstLine="600" w:firstLineChars="200"/>
      </w:pPr>
      <w:r>
        <w:rPr>
          <w:rFonts w:ascii="仿宋" w:hAnsi="仿宋" w:eastAsia="仿宋"/>
          <w:sz w:val="30"/>
          <w:szCs w:val="30"/>
        </w:rPr>
        <w:t>十</w:t>
      </w:r>
      <w:r>
        <w:rPr>
          <w:rFonts w:hint="eastAsia" w:ascii="仿宋" w:hAnsi="仿宋" w:eastAsia="仿宋"/>
          <w:sz w:val="30"/>
          <w:szCs w:val="30"/>
        </w:rPr>
        <w:t>七</w:t>
      </w:r>
      <w:r>
        <w:rPr>
          <w:rFonts w:ascii="仿宋" w:hAnsi="仿宋" w:eastAsia="仿宋"/>
          <w:sz w:val="30"/>
          <w:szCs w:val="30"/>
        </w:rPr>
        <w:t>、机关运行经费：指为保障行政单位（含参照公务员法管理的事业单位）运行用于购买货物和服务的各项资金，包括办公费、印刷费、差旅费、会议费、日常维修费、专用材料及办公用房水电费、物业管理费、公务用车运行维护费等。</w:t>
      </w:r>
    </w:p>
    <w:p>
      <w:pPr>
        <w:spacing w:line="560" w:lineRule="exact"/>
        <w:ind w:firstLine="420" w:firstLineChars="200"/>
      </w:pPr>
    </w:p>
    <w:sectPr>
      <w:pgSz w:w="11906" w:h="16838"/>
      <w:pgMar w:top="1440" w:right="1486" w:bottom="1440" w:left="16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宋体-PUA"/>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宋体-PU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宋体-PUA">
    <w:panose1 w:val="02010600030101010101"/>
    <w:charset w:val="86"/>
    <w:family w:val="auto"/>
    <w:pitch w:val="default"/>
    <w:sig w:usb0="00000000" w:usb1="1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F9EB28"/>
    <w:multiLevelType w:val="singleLevel"/>
    <w:tmpl w:val="8FF9EB28"/>
    <w:lvl w:ilvl="0" w:tentative="0">
      <w:start w:val="2"/>
      <w:numFmt w:val="chineseCounting"/>
      <w:suff w:val="nothing"/>
      <w:lvlText w:val="（%1）"/>
      <w:lvlJc w:val="left"/>
      <w:rPr>
        <w:rFonts w:hint="eastAsia"/>
      </w:rPr>
    </w:lvl>
  </w:abstractNum>
  <w:abstractNum w:abstractNumId="1">
    <w:nsid w:val="CEF1AB64"/>
    <w:multiLevelType w:val="singleLevel"/>
    <w:tmpl w:val="CEF1AB64"/>
    <w:lvl w:ilvl="0" w:tentative="0">
      <w:start w:val="8"/>
      <w:numFmt w:val="chineseCounting"/>
      <w:suff w:val="nothing"/>
      <w:lvlText w:val="%1、"/>
      <w:lvlJc w:val="left"/>
      <w:pPr>
        <w:ind w:left="1280" w:firstLine="0"/>
      </w:pPr>
      <w:rPr>
        <w:rFonts w:hint="eastAsia"/>
      </w:rPr>
    </w:lvl>
  </w:abstractNum>
  <w:abstractNum w:abstractNumId="2">
    <w:nsid w:val="F95AFE0C"/>
    <w:multiLevelType w:val="singleLevel"/>
    <w:tmpl w:val="F95AFE0C"/>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3C850E68"/>
    <w:rsid w:val="001A4F33"/>
    <w:rsid w:val="001E032A"/>
    <w:rsid w:val="002819BA"/>
    <w:rsid w:val="00357D15"/>
    <w:rsid w:val="00496FB2"/>
    <w:rsid w:val="004C00E9"/>
    <w:rsid w:val="005E3997"/>
    <w:rsid w:val="0064370D"/>
    <w:rsid w:val="006B7AE2"/>
    <w:rsid w:val="006C176F"/>
    <w:rsid w:val="0071446D"/>
    <w:rsid w:val="007A064C"/>
    <w:rsid w:val="007A6DC2"/>
    <w:rsid w:val="007C6CB5"/>
    <w:rsid w:val="007F3710"/>
    <w:rsid w:val="00803A85"/>
    <w:rsid w:val="00827277"/>
    <w:rsid w:val="0087591A"/>
    <w:rsid w:val="00913ED7"/>
    <w:rsid w:val="00934969"/>
    <w:rsid w:val="009654F6"/>
    <w:rsid w:val="009A3C56"/>
    <w:rsid w:val="009D16CB"/>
    <w:rsid w:val="00B2516B"/>
    <w:rsid w:val="00B306EA"/>
    <w:rsid w:val="00B63E1C"/>
    <w:rsid w:val="00C44B1C"/>
    <w:rsid w:val="00C84EE1"/>
    <w:rsid w:val="00E033B2"/>
    <w:rsid w:val="00E44156"/>
    <w:rsid w:val="00EB3D00"/>
    <w:rsid w:val="00ED00EE"/>
    <w:rsid w:val="00FD13B0"/>
    <w:rsid w:val="00FE3188"/>
    <w:rsid w:val="01C73B26"/>
    <w:rsid w:val="163A2327"/>
    <w:rsid w:val="17915BA2"/>
    <w:rsid w:val="1C874ED1"/>
    <w:rsid w:val="1E0F5831"/>
    <w:rsid w:val="1E792A18"/>
    <w:rsid w:val="2BFF2B2B"/>
    <w:rsid w:val="2EEFD6EC"/>
    <w:rsid w:val="32522B07"/>
    <w:rsid w:val="36DE1AF3"/>
    <w:rsid w:val="36FDB79D"/>
    <w:rsid w:val="37BB8701"/>
    <w:rsid w:val="3BFA5A5C"/>
    <w:rsid w:val="3C850E68"/>
    <w:rsid w:val="3C9033BC"/>
    <w:rsid w:val="3DEA7A4C"/>
    <w:rsid w:val="3F9508CC"/>
    <w:rsid w:val="3FB57C2D"/>
    <w:rsid w:val="473A256F"/>
    <w:rsid w:val="4A3655FB"/>
    <w:rsid w:val="4EA444D9"/>
    <w:rsid w:val="4FFFE262"/>
    <w:rsid w:val="54E1B7A9"/>
    <w:rsid w:val="5A886B58"/>
    <w:rsid w:val="5B001493"/>
    <w:rsid w:val="5DFFF495"/>
    <w:rsid w:val="61D46155"/>
    <w:rsid w:val="679DF4B2"/>
    <w:rsid w:val="67F6A0C8"/>
    <w:rsid w:val="6A5DC8D2"/>
    <w:rsid w:val="6B2D269F"/>
    <w:rsid w:val="6CD7A674"/>
    <w:rsid w:val="6E9CDBA2"/>
    <w:rsid w:val="6F6E0392"/>
    <w:rsid w:val="6F7D97C0"/>
    <w:rsid w:val="6FA02918"/>
    <w:rsid w:val="6FBCEA68"/>
    <w:rsid w:val="6FFDB572"/>
    <w:rsid w:val="73EF6ACA"/>
    <w:rsid w:val="77BDFF44"/>
    <w:rsid w:val="77F7F068"/>
    <w:rsid w:val="78C83538"/>
    <w:rsid w:val="7B354BF3"/>
    <w:rsid w:val="7BBAA3DF"/>
    <w:rsid w:val="7BBF6BD6"/>
    <w:rsid w:val="7D5F9C7B"/>
    <w:rsid w:val="7DFFF1EC"/>
    <w:rsid w:val="7EEEB388"/>
    <w:rsid w:val="7EFF5762"/>
    <w:rsid w:val="7F548F3B"/>
    <w:rsid w:val="7FCF35E6"/>
    <w:rsid w:val="7FFF47C5"/>
    <w:rsid w:val="9EFC1B2F"/>
    <w:rsid w:val="9FBC2F4A"/>
    <w:rsid w:val="9FD7102D"/>
    <w:rsid w:val="B1791AE9"/>
    <w:rsid w:val="BBEDB7AB"/>
    <w:rsid w:val="BCF5D5E2"/>
    <w:rsid w:val="BEFF2A3C"/>
    <w:rsid w:val="BF5FFBDA"/>
    <w:rsid w:val="BFDEB790"/>
    <w:rsid w:val="BFEF91B3"/>
    <w:rsid w:val="CDDDE579"/>
    <w:rsid w:val="CEFF4B01"/>
    <w:rsid w:val="DF735DC4"/>
    <w:rsid w:val="DFDD39EE"/>
    <w:rsid w:val="E7BBE8DE"/>
    <w:rsid w:val="EFCBA005"/>
    <w:rsid w:val="EFF61FB3"/>
    <w:rsid w:val="EFFD1F1D"/>
    <w:rsid w:val="EFFECE30"/>
    <w:rsid w:val="F72F6983"/>
    <w:rsid w:val="FC5F57FB"/>
    <w:rsid w:val="FF6B5E17"/>
    <w:rsid w:val="FF6F60EA"/>
    <w:rsid w:val="FFAE908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7">
    <w:name w:val="p0"/>
    <w:basedOn w:val="1"/>
    <w:qFormat/>
    <w:uiPriority w:val="0"/>
    <w:pPr>
      <w:widowControl/>
    </w:pPr>
    <w:rPr>
      <w:kern w:val="0"/>
      <w:szCs w:val="21"/>
    </w:rPr>
  </w:style>
  <w:style w:type="character" w:customStyle="1" w:styleId="8">
    <w:name w:val="页眉 Char"/>
    <w:basedOn w:val="6"/>
    <w:link w:val="3"/>
    <w:qFormat/>
    <w:uiPriority w:val="0"/>
    <w:rPr>
      <w:rFonts w:asciiTheme="minorHAnsi" w:hAnsiTheme="minorHAnsi" w:eastAsiaTheme="minorEastAsia" w:cstheme="minorBidi"/>
      <w:kern w:val="2"/>
      <w:sz w:val="18"/>
      <w:szCs w:val="18"/>
    </w:rPr>
  </w:style>
  <w:style w:type="character" w:customStyle="1" w:styleId="9">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13</Pages>
  <Words>978</Words>
  <Characters>5579</Characters>
  <Lines>46</Lines>
  <Paragraphs>13</Paragraphs>
  <TotalTime>6</TotalTime>
  <ScaleCrop>false</ScaleCrop>
  <LinksUpToDate>false</LinksUpToDate>
  <CharactersWithSpaces>6544</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2020-10-01T09:44:00Z</dcterms:created>
  <dc:creator>马英</dc:creator>
  <cp:lastModifiedBy>user</cp:lastModifiedBy>
  <cp:lastPrinted>2022-09-24T23:27:00Z</cp:lastPrinted>
  <dcterms:modified xsi:type="dcterms:W3CDTF">2022-09-29T10:43:13Z</dcterms:modified>
  <dc:title>××部门2018年度部门决算</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